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DC" w:rsidRDefault="00E52EDC">
      <w:pPr>
        <w:spacing w:after="200" w:line="276" w:lineRule="auto"/>
        <w:rPr>
          <w:b/>
          <w:bCs/>
        </w:rPr>
      </w:pPr>
    </w:p>
    <w:sdt>
      <w:sdtPr>
        <w:id w:val="121348809"/>
        <w:docPartObj>
          <w:docPartGallery w:val="Cover Pages"/>
          <w:docPartUnique/>
        </w:docPartObj>
      </w:sdtPr>
      <w:sdtEndPr>
        <w:rPr>
          <w:b/>
          <w:bCs/>
        </w:rPr>
      </w:sdtEndPr>
      <w:sdtContent>
        <w:p w:rsidR="00F23652" w:rsidRDefault="00F23652" w:rsidP="00F23652"/>
        <w:p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ES"/>
            </w:rPr>
            <w:drawing>
              <wp:inline distT="0" distB="0" distL="0" distR="0" wp14:anchorId="16251DBF" wp14:editId="28F2F44A">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123DA3" w:rsidRDefault="00F23652" w:rsidP="00F23652">
          <w:pPr>
            <w:pStyle w:val="Epgrafe"/>
            <w:spacing w:before="120" w:after="120"/>
            <w:rPr>
              <w:rFonts w:ascii="Times New Roman" w:hAnsi="Times New Roman"/>
            </w:rPr>
          </w:pPr>
          <w:r w:rsidRPr="00123DA3">
            <w:rPr>
              <w:rFonts w:ascii="Times New Roman" w:hAnsi="Times New Roman"/>
            </w:rPr>
            <w:t>ARCAL</w:t>
          </w:r>
        </w:p>
        <w:p w:rsidR="00F23652" w:rsidRPr="00123DA3" w:rsidRDefault="00F23652" w:rsidP="00F23652">
          <w:pPr>
            <w:tabs>
              <w:tab w:val="left" w:pos="0"/>
            </w:tabs>
            <w:suppressAutoHyphens/>
            <w:spacing w:before="120" w:after="120"/>
            <w:jc w:val="both"/>
            <w:rPr>
              <w:b/>
            </w:rPr>
          </w:pPr>
        </w:p>
        <w:p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rPr>
              <w:sz w:val="28"/>
              <w:szCs w:val="28"/>
            </w:rPr>
          </w:pPr>
        </w:p>
        <w:p w:rsidR="00515964" w:rsidRDefault="00515964" w:rsidP="00F23652">
          <w:pPr>
            <w:jc w:val="center"/>
            <w:rPr>
              <w:b/>
              <w:sz w:val="28"/>
              <w:szCs w:val="28"/>
            </w:rPr>
          </w:pPr>
        </w:p>
        <w:p w:rsidR="00F23652" w:rsidRPr="00123DA3" w:rsidRDefault="00F23652" w:rsidP="00F23652">
          <w:pPr>
            <w:jc w:val="center"/>
            <w:rPr>
              <w:sz w:val="28"/>
              <w:szCs w:val="28"/>
            </w:rPr>
          </w:pPr>
          <w:r w:rsidRPr="00123DA3">
            <w:rPr>
              <w:b/>
              <w:sz w:val="28"/>
              <w:szCs w:val="28"/>
            </w:rPr>
            <w:t xml:space="preserve"> </w:t>
          </w:r>
        </w:p>
        <w:p w:rsidR="00F23652" w:rsidRPr="00123DA3" w:rsidRDefault="00F23652" w:rsidP="00F23652">
          <w:pPr>
            <w:tabs>
              <w:tab w:val="left" w:pos="0"/>
            </w:tabs>
            <w:suppressAutoHyphens/>
            <w:spacing w:before="120" w:after="120"/>
            <w:jc w:val="both"/>
          </w:pPr>
        </w:p>
        <w:p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Default="00F23652" w:rsidP="00311332">
                <w:pPr>
                  <w:tabs>
                    <w:tab w:val="left" w:pos="-720"/>
                  </w:tabs>
                  <w:suppressAutoHyphens/>
                  <w:spacing w:before="120" w:after="120"/>
                  <w:jc w:val="center"/>
                  <w:rPr>
                    <w:b/>
                  </w:rPr>
                </w:pPr>
                <w:r>
                  <w:rPr>
                    <w:b/>
                  </w:rPr>
                  <w:br/>
                  <w:t>INFORME ANUAL</w:t>
                </w:r>
              </w:p>
              <w:p w:rsidR="00F23652" w:rsidRPr="00123DA3" w:rsidRDefault="00F23652" w:rsidP="00311332">
                <w:pPr>
                  <w:tabs>
                    <w:tab w:val="left" w:pos="-720"/>
                  </w:tabs>
                  <w:suppressAutoHyphens/>
                  <w:spacing w:before="120" w:after="120"/>
                  <w:jc w:val="center"/>
                  <w:rPr>
                    <w:b/>
                  </w:rPr>
                </w:pPr>
                <w:proofErr w:type="spellStart"/>
                <w:r>
                  <w:rPr>
                    <w:b/>
                  </w:rPr>
                  <w:t>Pa</w:t>
                </w:r>
                <w:r>
                  <w:rPr>
                    <w:b/>
                    <w:lang w:val="en-US"/>
                  </w:rPr>
                  <w:t>ís</w:t>
                </w:r>
                <w:proofErr w:type="spellEnd"/>
                <w:r>
                  <w:rPr>
                    <w:b/>
                    <w:lang w:val="en-US"/>
                  </w:rPr>
                  <w:t>:</w:t>
                </w:r>
                <w:r w:rsidR="004C0B37">
                  <w:rPr>
                    <w:b/>
                    <w:lang w:val="en-US"/>
                  </w:rPr>
                  <w:t xml:space="preserve"> CUBA</w:t>
                </w:r>
                <w:r>
                  <w:rPr>
                    <w:b/>
                  </w:rPr>
                  <w:br/>
                </w:r>
              </w:p>
            </w:tc>
          </w:tr>
        </w:tbl>
        <w:p w:rsidR="00F23652" w:rsidRPr="00123DA3" w:rsidRDefault="00F23652" w:rsidP="00F23652">
          <w:pPr>
            <w:tabs>
              <w:tab w:val="left" w:pos="-720"/>
            </w:tabs>
            <w:suppressAutoHyphens/>
            <w:spacing w:before="120" w:after="120"/>
            <w:jc w:val="both"/>
          </w:pPr>
        </w:p>
        <w:p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right" w:pos="9024"/>
            </w:tabs>
            <w:suppressAutoHyphens/>
            <w:spacing w:before="120" w:after="120"/>
            <w:jc w:val="both"/>
          </w:pPr>
        </w:p>
        <w:p w:rsidR="00F23652" w:rsidRPr="00123DA3" w:rsidRDefault="004C0B37" w:rsidP="004C0B37">
          <w:pPr>
            <w:tabs>
              <w:tab w:val="left" w:pos="-720"/>
            </w:tabs>
            <w:suppressAutoHyphens/>
            <w:jc w:val="right"/>
          </w:pPr>
          <w:r>
            <w:t>Marzo de 2019</w:t>
          </w:r>
        </w:p>
        <w:p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242"/>
          </w:tblGrid>
          <w:tr w:rsidR="00F23652" w:rsidRPr="004C34A3" w:rsidTr="00311332">
            <w:tc>
              <w:tcPr>
                <w:tcW w:w="5000" w:type="pct"/>
              </w:tcPr>
              <w:p w:rsidR="00F23652" w:rsidRPr="004C34A3" w:rsidRDefault="00F23652" w:rsidP="00311332">
                <w:pPr>
                  <w:pStyle w:val="Sinespaciado"/>
                  <w:rPr>
                    <w:lang w:val="es-ES_tradnl"/>
                  </w:rPr>
                </w:pPr>
              </w:p>
            </w:tc>
          </w:tr>
        </w:tbl>
        <w:p w:rsidR="00F23652" w:rsidRPr="004C34A3" w:rsidRDefault="00F23652" w:rsidP="00F23652">
          <w:pPr>
            <w:rPr>
              <w:lang w:val="es-ES_tradnl"/>
            </w:rPr>
          </w:pPr>
        </w:p>
        <w:p w:rsidR="00F23652" w:rsidRDefault="00BA62C4" w:rsidP="00F23652">
          <w:pPr>
            <w:spacing w:after="200" w:line="276" w:lineRule="auto"/>
            <w:rPr>
              <w:b/>
              <w:bCs/>
            </w:rPr>
          </w:pPr>
        </w:p>
      </w:sdtContent>
    </w:sdt>
    <w:p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rsidR="0010169B" w:rsidRDefault="0010169B">
      <w:pPr>
        <w:spacing w:after="200" w:line="276" w:lineRule="auto"/>
        <w:rPr>
          <w:b/>
        </w:rPr>
      </w:pPr>
    </w:p>
    <w:p w:rsidR="00F23652" w:rsidRPr="00783144" w:rsidRDefault="003348D2" w:rsidP="00F23652">
      <w:pPr>
        <w:spacing w:after="120"/>
        <w:jc w:val="center"/>
        <w:rPr>
          <w:b/>
          <w:bCs/>
        </w:rPr>
      </w:pPr>
      <w:r>
        <w:rPr>
          <w:b/>
          <w:bCs/>
        </w:rPr>
        <w:t>C</w:t>
      </w:r>
      <w:r w:rsidR="00F23652" w:rsidRPr="00783144">
        <w:rPr>
          <w:b/>
          <w:bCs/>
        </w:rPr>
        <w:t>ONTENIDO</w:t>
      </w:r>
    </w:p>
    <w:p w:rsidR="00F23652" w:rsidRPr="00783144" w:rsidRDefault="00F23652" w:rsidP="00F23652">
      <w:pPr>
        <w:spacing w:after="120"/>
        <w:jc w:val="center"/>
        <w:rPr>
          <w:b/>
          <w:bCs/>
        </w:rPr>
      </w:pPr>
    </w:p>
    <w:p w:rsidR="00F23652" w:rsidRPr="00783144" w:rsidRDefault="00F23652" w:rsidP="00F23652">
      <w:pPr>
        <w:numPr>
          <w:ilvl w:val="0"/>
          <w:numId w:val="17"/>
        </w:numPr>
        <w:tabs>
          <w:tab w:val="clear" w:pos="900"/>
        </w:tabs>
        <w:spacing w:after="120"/>
        <w:ind w:left="450" w:hanging="450"/>
      </w:pPr>
      <w:r w:rsidRPr="00783144">
        <w:t>RESUMEN EJECUTIVO</w:t>
      </w:r>
    </w:p>
    <w:p w:rsidR="00F23652" w:rsidRPr="00783144" w:rsidRDefault="00F23652" w:rsidP="00F23652">
      <w:pPr>
        <w:numPr>
          <w:ilvl w:val="0"/>
          <w:numId w:val="17"/>
        </w:numPr>
        <w:tabs>
          <w:tab w:val="clear" w:pos="900"/>
        </w:tabs>
        <w:spacing w:after="120"/>
        <w:ind w:left="450" w:hanging="450"/>
        <w:jc w:val="both"/>
      </w:pPr>
      <w:r w:rsidRPr="00783144">
        <w:t>PARTICIPACIÓN DEL COORDINADOR NACIONAL EN LAS ACTIVIDADES DE ARCAL</w:t>
      </w:r>
    </w:p>
    <w:p w:rsidR="0010169B" w:rsidRDefault="0010169B" w:rsidP="0010169B">
      <w:pPr>
        <w:numPr>
          <w:ilvl w:val="0"/>
          <w:numId w:val="17"/>
        </w:numPr>
        <w:tabs>
          <w:tab w:val="clear" w:pos="900"/>
          <w:tab w:val="left" w:pos="142"/>
        </w:tabs>
        <w:suppressAutoHyphens/>
        <w:spacing w:after="120"/>
        <w:ind w:left="450" w:hanging="450"/>
        <w:jc w:val="both"/>
        <w:rPr>
          <w:spacing w:val="-3"/>
        </w:rPr>
      </w:pPr>
      <w:r>
        <w:t>RESULTADOS</w:t>
      </w:r>
      <w:r w:rsidR="00F23652" w:rsidRPr="00783144">
        <w:t xml:space="preserve"> </w:t>
      </w:r>
    </w:p>
    <w:p w:rsidR="00F23652" w:rsidRPr="0010169B" w:rsidRDefault="0010169B" w:rsidP="0010169B">
      <w:pPr>
        <w:tabs>
          <w:tab w:val="left" w:pos="142"/>
        </w:tabs>
        <w:suppressAutoHyphens/>
        <w:spacing w:after="120"/>
        <w:jc w:val="both"/>
        <w:rPr>
          <w:spacing w:val="-3"/>
        </w:rPr>
      </w:pPr>
      <w:r>
        <w:t xml:space="preserve">A)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 Y DEL ACUERDO</w:t>
      </w:r>
    </w:p>
    <w:p w:rsidR="00F23652" w:rsidRPr="00783144" w:rsidRDefault="00F23652" w:rsidP="00F23652">
      <w:pPr>
        <w:numPr>
          <w:ilvl w:val="0"/>
          <w:numId w:val="17"/>
        </w:numPr>
        <w:tabs>
          <w:tab w:val="clear" w:pos="900"/>
          <w:tab w:val="left" w:pos="142"/>
        </w:tabs>
        <w:suppressAutoHyphens/>
        <w:spacing w:after="120"/>
        <w:ind w:left="450" w:hanging="450"/>
        <w:jc w:val="both"/>
        <w:rPr>
          <w:spacing w:val="-3"/>
        </w:rPr>
      </w:pPr>
      <w:r>
        <w:t>ANEXOS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rsidR="00515964" w:rsidRDefault="00515964" w:rsidP="00EA76EA">
      <w:pPr>
        <w:tabs>
          <w:tab w:val="left" w:pos="142"/>
          <w:tab w:val="left" w:pos="567"/>
        </w:tabs>
        <w:suppressAutoHyphens/>
        <w:spacing w:after="120"/>
        <w:jc w:val="both"/>
        <w:rPr>
          <w:spacing w:val="-3"/>
        </w:rPr>
      </w:pPr>
    </w:p>
    <w:p w:rsidR="00EA76EA" w:rsidRPr="00783144" w:rsidRDefault="00EA76EA" w:rsidP="00EA76EA">
      <w:pPr>
        <w:tabs>
          <w:tab w:val="left" w:pos="142"/>
          <w:tab w:val="left" w:pos="567"/>
        </w:tabs>
        <w:suppressAutoHyphens/>
        <w:spacing w:after="120"/>
        <w:jc w:val="both"/>
        <w:rPr>
          <w:spacing w:val="-3"/>
        </w:rPr>
      </w:pPr>
    </w:p>
    <w:p w:rsidR="00F23652" w:rsidRPr="00783144" w:rsidRDefault="00F23652" w:rsidP="00F23652">
      <w:pPr>
        <w:numPr>
          <w:ilvl w:val="0"/>
          <w:numId w:val="18"/>
        </w:numPr>
        <w:tabs>
          <w:tab w:val="clear" w:pos="900"/>
        </w:tabs>
        <w:spacing w:before="120"/>
        <w:ind w:left="270" w:hanging="270"/>
        <w:jc w:val="both"/>
        <w:rPr>
          <w:b/>
        </w:rPr>
      </w:pPr>
      <w:r w:rsidRPr="00783144">
        <w:rPr>
          <w:b/>
        </w:rPr>
        <w:t>RESUMEN EJECUTIVO</w:t>
      </w:r>
    </w:p>
    <w:p w:rsidR="00676282" w:rsidRPr="0092701C" w:rsidRDefault="00676282" w:rsidP="00B12C26">
      <w:pPr>
        <w:tabs>
          <w:tab w:val="left" w:pos="426"/>
        </w:tabs>
        <w:spacing w:after="120"/>
        <w:ind w:left="426" w:right="296"/>
        <w:jc w:val="both"/>
      </w:pPr>
      <w:r>
        <w:t xml:space="preserve">Cuba reforzó su contribución al Acuerdo ARCAL en el marco de los proyectos regionales que se mantuvieron activos durante el año 2018, cerrando el año con un aporte de recursos valorados en </w:t>
      </w:r>
      <w:r w:rsidR="0092701C" w:rsidRPr="0092701C">
        <w:rPr>
          <w:b/>
          <w:sz w:val="22"/>
          <w:szCs w:val="22"/>
        </w:rPr>
        <w:t xml:space="preserve"> </w:t>
      </w:r>
      <w:r w:rsidR="00BA4AB1" w:rsidRPr="00BA4AB1">
        <w:rPr>
          <w:b/>
          <w:sz w:val="22"/>
          <w:szCs w:val="22"/>
        </w:rPr>
        <w:t>196253</w:t>
      </w:r>
      <w:r w:rsidR="0092701C">
        <w:rPr>
          <w:b/>
          <w:sz w:val="22"/>
          <w:szCs w:val="22"/>
        </w:rPr>
        <w:t xml:space="preserve"> </w:t>
      </w:r>
      <w:r w:rsidRPr="00676282">
        <w:rPr>
          <w:b/>
        </w:rPr>
        <w:t>EUROS</w:t>
      </w:r>
      <w:r w:rsidR="0092701C">
        <w:rPr>
          <w:b/>
        </w:rPr>
        <w:t xml:space="preserve">, </w:t>
      </w:r>
      <w:r w:rsidR="0092701C" w:rsidRPr="0092701C">
        <w:t xml:space="preserve">lo que representa un incremento respecto al año anterior de </w:t>
      </w:r>
      <w:r w:rsidR="00B12C26">
        <w:t>15097</w:t>
      </w:r>
      <w:r w:rsidR="0092701C">
        <w:t xml:space="preserve"> EUROS.</w:t>
      </w:r>
      <w:r w:rsidR="0056274F">
        <w:t xml:space="preserve"> El país fue sede de 6 eventos del OIEA</w:t>
      </w:r>
      <w:r w:rsidR="00EC2166">
        <w:t xml:space="preserve"> de los cuales 2 fueron reuniones iniciales de proyectos ARCAL en los cuales Cuba está como DTM</w:t>
      </w:r>
    </w:p>
    <w:p w:rsidR="00676282" w:rsidRDefault="00676282" w:rsidP="00676282">
      <w:pPr>
        <w:ind w:left="540"/>
        <w:jc w:val="both"/>
      </w:pPr>
    </w:p>
    <w:p w:rsidR="00676282" w:rsidRDefault="00676282" w:rsidP="0092701C">
      <w:pPr>
        <w:ind w:left="540"/>
        <w:jc w:val="both"/>
      </w:pPr>
      <w:r>
        <w:t xml:space="preserve">Los resultados de estos  proyectos  han tributado a sectores como salud </w:t>
      </w:r>
      <w:r w:rsidR="0092701C">
        <w:t>pública</w:t>
      </w:r>
      <w:r>
        <w:t xml:space="preserve">, seguridad alimentaria, industria y medio ambiente, en correspondencia con las prioridades definidas en el Marco </w:t>
      </w:r>
      <w:r w:rsidR="0092701C">
        <w:t>Programático</w:t>
      </w:r>
      <w:r>
        <w:t xml:space="preserve"> Nacional y  con</w:t>
      </w:r>
      <w:r w:rsidR="0092701C">
        <w:t xml:space="preserve"> el Perfil Estratégico Regional, donde al finalizar el año se cuenta con resultados importantes que han tributado a la incorporación de nuevos servicios, el desarrollo de aplicaciones web, nuevas metodologías validadas, y nuevos protocolos, entre otros.</w:t>
      </w:r>
    </w:p>
    <w:p w:rsidR="00676282" w:rsidRDefault="00676282" w:rsidP="00676282">
      <w:pPr>
        <w:ind w:left="540"/>
        <w:jc w:val="both"/>
      </w:pPr>
    </w:p>
    <w:p w:rsidR="00CC2264" w:rsidRDefault="00676282" w:rsidP="00676282">
      <w:pPr>
        <w:ind w:left="540"/>
        <w:jc w:val="both"/>
      </w:pPr>
      <w:r>
        <w:t xml:space="preserve">En este período cabe señalar que el país </w:t>
      </w:r>
      <w:r w:rsidR="00CC2264">
        <w:t xml:space="preserve">también continuó participando de manera activa en los proyectos de seguridad radiológica, gestión del conocimiento y aplicación de la técnica del insecto estéril contra vectores, en los cuales se  han contribuido al logro de resultados en la región. </w:t>
      </w:r>
    </w:p>
    <w:p w:rsidR="00F23652" w:rsidRPr="00783144" w:rsidRDefault="00F23652" w:rsidP="00F23652">
      <w:pPr>
        <w:autoSpaceDN w:val="0"/>
        <w:spacing w:before="120"/>
        <w:jc w:val="both"/>
        <w:rPr>
          <w:color w:val="000000"/>
        </w:rPr>
      </w:pPr>
    </w:p>
    <w:p w:rsidR="00F23652" w:rsidRPr="00783144" w:rsidRDefault="00F23652" w:rsidP="00F23652">
      <w:pPr>
        <w:numPr>
          <w:ilvl w:val="0"/>
          <w:numId w:val="18"/>
        </w:numPr>
        <w:tabs>
          <w:tab w:val="num" w:pos="426"/>
        </w:tabs>
        <w:spacing w:before="120"/>
        <w:ind w:left="270" w:hanging="270"/>
        <w:jc w:val="both"/>
        <w:rPr>
          <w:b/>
        </w:rPr>
      </w:pPr>
      <w:r w:rsidRPr="00783144">
        <w:rPr>
          <w:b/>
        </w:rPr>
        <w:t>PARTICIPACIÓN DEL COORDINADOR NACIONAL EN LAS ACTIVIDADES DE ARCAL</w:t>
      </w:r>
    </w:p>
    <w:p w:rsidR="00676282" w:rsidRDefault="00676282" w:rsidP="00676282">
      <w:pPr>
        <w:spacing w:before="120"/>
        <w:ind w:left="540"/>
        <w:jc w:val="both"/>
      </w:pPr>
      <w:r>
        <w:t>El Coordinador Nacional de ARCAL durante el año 2018 desarrolló un plan de actividades que consistió en la participación en:</w:t>
      </w:r>
    </w:p>
    <w:p w:rsidR="00F23652" w:rsidRDefault="00F23652" w:rsidP="00F23652">
      <w:pPr>
        <w:spacing w:before="120"/>
        <w:jc w:val="both"/>
        <w:rPr>
          <w:b/>
        </w:rPr>
      </w:pPr>
    </w:p>
    <w:p w:rsidR="00676282" w:rsidRPr="00676282" w:rsidRDefault="00676282" w:rsidP="00676282">
      <w:pPr>
        <w:pStyle w:val="Prrafodelista"/>
        <w:numPr>
          <w:ilvl w:val="0"/>
          <w:numId w:val="31"/>
        </w:numPr>
        <w:spacing w:line="276" w:lineRule="auto"/>
        <w:jc w:val="both"/>
      </w:pPr>
      <w:r>
        <w:t>R</w:t>
      </w:r>
      <w:r w:rsidRPr="00676282">
        <w:t>eunión</w:t>
      </w:r>
      <w:r>
        <w:t xml:space="preserve"> P</w:t>
      </w:r>
      <w:r w:rsidRPr="00676282">
        <w:t>reparatoria</w:t>
      </w:r>
      <w:r>
        <w:t xml:space="preserve"> </w:t>
      </w:r>
      <w:r w:rsidRPr="00676282">
        <w:t>para</w:t>
      </w:r>
      <w:r>
        <w:t xml:space="preserve"> </w:t>
      </w:r>
      <w:r w:rsidRPr="00676282">
        <w:t>la</w:t>
      </w:r>
      <w:r>
        <w:t xml:space="preserve"> </w:t>
      </w:r>
      <w:r w:rsidRPr="00676282">
        <w:t>XIX</w:t>
      </w:r>
      <w:r>
        <w:t xml:space="preserve"> </w:t>
      </w:r>
      <w:r w:rsidRPr="00676282">
        <w:t>Reunión</w:t>
      </w:r>
      <w:r>
        <w:t xml:space="preserve"> </w:t>
      </w:r>
      <w:r w:rsidRPr="00676282">
        <w:t>Ordinaria</w:t>
      </w:r>
      <w:r>
        <w:t xml:space="preserve"> </w:t>
      </w:r>
      <w:r w:rsidRPr="00676282">
        <w:t>del</w:t>
      </w:r>
      <w:r>
        <w:t xml:space="preserve"> </w:t>
      </w:r>
      <w:r w:rsidRPr="00676282">
        <w:t>OCTA</w:t>
      </w:r>
      <w:r>
        <w:t>, d</w:t>
      </w:r>
      <w:r w:rsidRPr="00676282">
        <w:t>e</w:t>
      </w:r>
      <w:r>
        <w:t xml:space="preserve"> </w:t>
      </w:r>
      <w:r w:rsidRPr="00676282">
        <w:t>l9</w:t>
      </w:r>
      <w:r>
        <w:t xml:space="preserve"> </w:t>
      </w:r>
      <w:r w:rsidRPr="00676282">
        <w:t>al</w:t>
      </w:r>
      <w:r>
        <w:t xml:space="preserve"> </w:t>
      </w:r>
      <w:r w:rsidRPr="00676282">
        <w:t>11</w:t>
      </w:r>
      <w:r>
        <w:t xml:space="preserve"> </w:t>
      </w:r>
      <w:r w:rsidRPr="00676282">
        <w:t>de</w:t>
      </w:r>
      <w:r>
        <w:t xml:space="preserve"> </w:t>
      </w:r>
      <w:r w:rsidRPr="00676282">
        <w:t>mayo</w:t>
      </w:r>
      <w:r>
        <w:t xml:space="preserve"> </w:t>
      </w:r>
      <w:r w:rsidRPr="00676282">
        <w:t>de</w:t>
      </w:r>
      <w:r>
        <w:t xml:space="preserve"> </w:t>
      </w:r>
      <w:r w:rsidRPr="00676282">
        <w:t>2018</w:t>
      </w:r>
    </w:p>
    <w:p w:rsidR="00676282" w:rsidRDefault="00676282" w:rsidP="00676282">
      <w:pPr>
        <w:pStyle w:val="Prrafodelista"/>
        <w:numPr>
          <w:ilvl w:val="0"/>
          <w:numId w:val="31"/>
        </w:numPr>
        <w:spacing w:line="276" w:lineRule="auto"/>
        <w:jc w:val="both"/>
      </w:pPr>
      <w:r w:rsidRPr="00676282">
        <w:lastRenderedPageBreak/>
        <w:t>XIX</w:t>
      </w:r>
      <w:r>
        <w:t xml:space="preserve"> R</w:t>
      </w:r>
      <w:r w:rsidRPr="00676282">
        <w:t>eunión</w:t>
      </w:r>
      <w:r>
        <w:t xml:space="preserve"> </w:t>
      </w:r>
      <w:r w:rsidRPr="00676282">
        <w:t>del</w:t>
      </w:r>
      <w:r>
        <w:t xml:space="preserve"> </w:t>
      </w:r>
      <w:r w:rsidRPr="00676282">
        <w:t>Órgano</w:t>
      </w:r>
      <w:r>
        <w:t xml:space="preserve"> </w:t>
      </w:r>
      <w:r w:rsidRPr="00676282">
        <w:t>de</w:t>
      </w:r>
      <w:r>
        <w:t xml:space="preserve"> </w:t>
      </w:r>
      <w:r w:rsidRPr="00676282">
        <w:t>Coordinación</w:t>
      </w:r>
      <w:r>
        <w:t xml:space="preserve"> </w:t>
      </w:r>
      <w:r w:rsidRPr="00676282">
        <w:t>Técnica</w:t>
      </w:r>
      <w:r>
        <w:t xml:space="preserve">   </w:t>
      </w:r>
      <w:r w:rsidRPr="00676282">
        <w:t>del</w:t>
      </w:r>
      <w:r>
        <w:t xml:space="preserve"> </w:t>
      </w:r>
      <w:r w:rsidRPr="00676282">
        <w:t>14</w:t>
      </w:r>
      <w:r>
        <w:t xml:space="preserve"> </w:t>
      </w:r>
      <w:r w:rsidRPr="00676282">
        <w:t>al</w:t>
      </w:r>
      <w:r>
        <w:t xml:space="preserve"> </w:t>
      </w:r>
      <w:r w:rsidRPr="00676282">
        <w:t>18</w:t>
      </w:r>
      <w:r>
        <w:t xml:space="preserve"> </w:t>
      </w:r>
      <w:r w:rsidRPr="00676282">
        <w:t>de</w:t>
      </w:r>
      <w:r>
        <w:t xml:space="preserve"> </w:t>
      </w:r>
      <w:r w:rsidRPr="00676282">
        <w:t>mayo</w:t>
      </w:r>
      <w:r>
        <w:t xml:space="preserve"> </w:t>
      </w:r>
      <w:r w:rsidRPr="00676282">
        <w:t>de</w:t>
      </w:r>
      <w:r>
        <w:t xml:space="preserve"> </w:t>
      </w:r>
      <w:r w:rsidRPr="00676282">
        <w:t>2018,</w:t>
      </w:r>
    </w:p>
    <w:p w:rsidR="00676282" w:rsidRDefault="00676282" w:rsidP="00676282">
      <w:pPr>
        <w:pStyle w:val="Prrafodelista"/>
        <w:numPr>
          <w:ilvl w:val="0"/>
          <w:numId w:val="31"/>
        </w:numPr>
        <w:spacing w:before="120"/>
        <w:jc w:val="both"/>
      </w:pPr>
      <w:r>
        <w:t>Coordinación de las adhesiones de las instituciones cubanas a las propuestas de proyectos regionales.</w:t>
      </w:r>
    </w:p>
    <w:p w:rsidR="00676282" w:rsidRDefault="00676282" w:rsidP="00676282">
      <w:pPr>
        <w:pStyle w:val="Prrafodelista"/>
        <w:numPr>
          <w:ilvl w:val="0"/>
          <w:numId w:val="31"/>
        </w:numPr>
        <w:spacing w:before="120"/>
        <w:jc w:val="both"/>
      </w:pPr>
      <w:r>
        <w:t>Coordinación y evaluación de las propuestas de proyecto en el área de salud humana, como punto focal en ésta temática</w:t>
      </w:r>
    </w:p>
    <w:p w:rsidR="00676282" w:rsidRDefault="00676282" w:rsidP="00676282">
      <w:pPr>
        <w:pStyle w:val="Prrafodelista"/>
        <w:numPr>
          <w:ilvl w:val="0"/>
          <w:numId w:val="31"/>
        </w:numPr>
        <w:spacing w:before="120"/>
        <w:jc w:val="both"/>
      </w:pPr>
      <w:r>
        <w:t>Seguimiento a la implementación durante el año de los proyectos regionales en los cuales el país participa.</w:t>
      </w:r>
    </w:p>
    <w:p w:rsidR="00676282" w:rsidRDefault="00676282" w:rsidP="00676282">
      <w:pPr>
        <w:pStyle w:val="Prrafodelista"/>
        <w:numPr>
          <w:ilvl w:val="0"/>
          <w:numId w:val="31"/>
        </w:numPr>
        <w:spacing w:before="120"/>
        <w:jc w:val="both"/>
      </w:pPr>
      <w:r>
        <w:t>Coordinación y seguimiento a la elaboración y entrega de los informes de seguimiento semestrales (PPAR) al OIEA.</w:t>
      </w:r>
    </w:p>
    <w:p w:rsidR="00576FD0" w:rsidRDefault="00576FD0" w:rsidP="00676282">
      <w:pPr>
        <w:pStyle w:val="Prrafodelista"/>
        <w:numPr>
          <w:ilvl w:val="0"/>
          <w:numId w:val="31"/>
        </w:numPr>
        <w:spacing w:before="120"/>
        <w:jc w:val="both"/>
      </w:pPr>
      <w:r>
        <w:t>Se comenzaron las actividades de preparación para la reunión del OCTA prevista a celebrarse en mayo del 2019 en La Habana.</w:t>
      </w:r>
    </w:p>
    <w:p w:rsidR="00676282" w:rsidRPr="00676282" w:rsidRDefault="00676282" w:rsidP="00676282">
      <w:pPr>
        <w:spacing w:line="276" w:lineRule="auto"/>
        <w:ind w:left="360"/>
        <w:jc w:val="both"/>
      </w:pPr>
    </w:p>
    <w:p w:rsidR="0010169B" w:rsidRDefault="00F23652" w:rsidP="00F23652">
      <w:pPr>
        <w:numPr>
          <w:ilvl w:val="0"/>
          <w:numId w:val="18"/>
        </w:numPr>
        <w:tabs>
          <w:tab w:val="clear" w:pos="900"/>
        </w:tabs>
        <w:spacing w:before="120"/>
        <w:ind w:left="270" w:hanging="270"/>
        <w:jc w:val="both"/>
        <w:rPr>
          <w:b/>
        </w:rPr>
      </w:pPr>
      <w:r w:rsidRPr="00783144">
        <w:rPr>
          <w:b/>
        </w:rPr>
        <w:t xml:space="preserve">RESULTADOS </w:t>
      </w:r>
    </w:p>
    <w:p w:rsidR="00EA76EA" w:rsidRDefault="00EA76EA" w:rsidP="00EA76EA">
      <w:pPr>
        <w:spacing w:before="120"/>
        <w:jc w:val="both"/>
        <w:rPr>
          <w:b/>
        </w:rPr>
      </w:pPr>
    </w:p>
    <w:p w:rsidR="00654926" w:rsidRDefault="00654926" w:rsidP="00654926">
      <w:pPr>
        <w:spacing w:before="120"/>
        <w:jc w:val="both"/>
      </w:pPr>
      <w:r>
        <w:t xml:space="preserve">Resultados obtenidos </w:t>
      </w:r>
    </w:p>
    <w:p w:rsidR="00654926" w:rsidRPr="00020193" w:rsidRDefault="00654926" w:rsidP="00654926">
      <w:pPr>
        <w:pStyle w:val="Prrafodelista"/>
        <w:numPr>
          <w:ilvl w:val="0"/>
          <w:numId w:val="31"/>
        </w:numPr>
        <w:spacing w:line="276" w:lineRule="auto"/>
        <w:jc w:val="both"/>
      </w:pPr>
      <w:r w:rsidRPr="00020193">
        <w:t>Desarroll</w:t>
      </w:r>
      <w:r w:rsidR="009F6067">
        <w:t>a</w:t>
      </w:r>
      <w:r w:rsidRPr="00020193">
        <w:t xml:space="preserve"> aplicación web “Catálogo de redes de ARCAL” basada en el lenguaje de programación PHP (versión 7), que facilidad el acceso a la información sobre las redes temáticas en las que participan las principales instituciones nucleares de la región, promoviendo la incorporación de otras instituciones </w:t>
      </w:r>
    </w:p>
    <w:p w:rsidR="00654926" w:rsidRDefault="009F6067" w:rsidP="00654926">
      <w:pPr>
        <w:pStyle w:val="Prrafodelista"/>
        <w:numPr>
          <w:ilvl w:val="0"/>
          <w:numId w:val="31"/>
        </w:numPr>
        <w:tabs>
          <w:tab w:val="num" w:pos="0"/>
        </w:tabs>
        <w:spacing w:after="120"/>
        <w:jc w:val="both"/>
        <w:rPr>
          <w:color w:val="000000"/>
        </w:rPr>
      </w:pPr>
      <w:r>
        <w:rPr>
          <w:color w:val="000000"/>
        </w:rPr>
        <w:t>P</w:t>
      </w:r>
      <w:r w:rsidR="00654926">
        <w:rPr>
          <w:color w:val="000000"/>
        </w:rPr>
        <w:t>ostulación de dos centros colaborativos (El CEAC  en los temas de Manejo Costero y otro en formación en Protección Radiológica y Cultura de Seguridad donde estarán involucrados en CPHR, CNSN y el INSTEC).</w:t>
      </w:r>
    </w:p>
    <w:p w:rsidR="009F6067" w:rsidRPr="009F6067" w:rsidRDefault="009F6067" w:rsidP="009F6067">
      <w:pPr>
        <w:pStyle w:val="Prrafodelista"/>
        <w:numPr>
          <w:ilvl w:val="0"/>
          <w:numId w:val="31"/>
        </w:numPr>
        <w:spacing w:before="120"/>
        <w:jc w:val="both"/>
        <w:rPr>
          <w:b/>
        </w:rPr>
      </w:pPr>
      <w:r>
        <w:t>Capacitados y entrenados especialistas nacionales en las tecnologías híbridas de todo el país lo que ha permitido la introducción de la braquiterapia con alta tasa de dosis en 2 nuevos servicios de radioterapia en el centro y el oriente del país.</w:t>
      </w:r>
    </w:p>
    <w:p w:rsidR="00654926" w:rsidRPr="00C857A3" w:rsidRDefault="009F6067" w:rsidP="00654926">
      <w:pPr>
        <w:pStyle w:val="Prrafodelista"/>
        <w:numPr>
          <w:ilvl w:val="0"/>
          <w:numId w:val="31"/>
        </w:numPr>
        <w:tabs>
          <w:tab w:val="num" w:pos="0"/>
        </w:tabs>
        <w:spacing w:before="120" w:after="120"/>
        <w:jc w:val="both"/>
      </w:pPr>
      <w:r>
        <w:rPr>
          <w:rFonts w:eastAsiaTheme="minorHAnsi"/>
          <w:sz w:val="23"/>
          <w:szCs w:val="23"/>
          <w:lang w:eastAsia="en-US"/>
        </w:rPr>
        <w:t>Constituido</w:t>
      </w:r>
      <w:r w:rsidR="00654926" w:rsidRPr="00C857A3">
        <w:rPr>
          <w:rFonts w:eastAsiaTheme="minorHAnsi"/>
          <w:sz w:val="23"/>
          <w:szCs w:val="23"/>
          <w:lang w:eastAsia="en-US"/>
        </w:rPr>
        <w:t xml:space="preserve"> un nuevo servicio científico tecnológico comercial en el país para el diagnóstico de torres de destilación de alcohol de la Industria Azucarera</w:t>
      </w:r>
      <w:r w:rsidR="00654926" w:rsidRPr="00C857A3">
        <w:rPr>
          <w:rFonts w:eastAsiaTheme="minorHAnsi"/>
          <w:b/>
          <w:bCs/>
          <w:sz w:val="23"/>
          <w:szCs w:val="23"/>
          <w:lang w:eastAsia="en-US"/>
        </w:rPr>
        <w:t>.</w:t>
      </w:r>
    </w:p>
    <w:p w:rsidR="00654926" w:rsidRPr="00654926" w:rsidRDefault="00654926" w:rsidP="00654926">
      <w:pPr>
        <w:pStyle w:val="Prrafodelista"/>
        <w:numPr>
          <w:ilvl w:val="0"/>
          <w:numId w:val="31"/>
        </w:numPr>
        <w:tabs>
          <w:tab w:val="num" w:pos="0"/>
        </w:tabs>
        <w:spacing w:before="120" w:after="120"/>
        <w:jc w:val="both"/>
      </w:pPr>
      <w:r>
        <w:rPr>
          <w:rFonts w:eastAsia="Calibri"/>
          <w:sz w:val="22"/>
          <w:szCs w:val="22"/>
          <w:lang w:eastAsia="ar-SA" w:bidi="hi-IN"/>
        </w:rPr>
        <w:t xml:space="preserve">Generado </w:t>
      </w:r>
      <w:r>
        <w:rPr>
          <w:sz w:val="22"/>
          <w:szCs w:val="22"/>
        </w:rPr>
        <w:t>un  módulo de gestión de datos  para el sitio web de RALACA, el cual contribuye a la gestión de información obtenida del proyecto</w:t>
      </w:r>
      <w:r>
        <w:rPr>
          <w:rFonts w:eastAsia="Calibri"/>
          <w:sz w:val="22"/>
          <w:szCs w:val="22"/>
          <w:lang w:eastAsia="ar-SA" w:bidi="hi-IN"/>
        </w:rPr>
        <w:t xml:space="preserve"> a través del desarrollo de productos comunicativos</w:t>
      </w:r>
    </w:p>
    <w:p w:rsidR="00654926" w:rsidRPr="00654926" w:rsidRDefault="009F6067" w:rsidP="00654926">
      <w:pPr>
        <w:pStyle w:val="Prrafodelista"/>
        <w:numPr>
          <w:ilvl w:val="0"/>
          <w:numId w:val="31"/>
        </w:numPr>
        <w:tabs>
          <w:tab w:val="num" w:pos="0"/>
        </w:tabs>
        <w:spacing w:before="120" w:after="120"/>
        <w:jc w:val="both"/>
      </w:pPr>
      <w:r>
        <w:rPr>
          <w:rFonts w:eastAsia="Calibri"/>
          <w:sz w:val="22"/>
          <w:szCs w:val="22"/>
          <w:lang w:eastAsia="ar-SA" w:bidi="hi-IN"/>
        </w:rPr>
        <w:t>Reactivado e</w:t>
      </w:r>
      <w:r w:rsidR="00654926">
        <w:rPr>
          <w:rFonts w:eastAsia="Calibri"/>
          <w:sz w:val="22"/>
          <w:szCs w:val="22"/>
          <w:lang w:eastAsia="ar-SA" w:bidi="hi-IN"/>
        </w:rPr>
        <w:t xml:space="preserve">l Comité Técnico de </w:t>
      </w:r>
      <w:r w:rsidR="00654926">
        <w:rPr>
          <w:rFonts w:eastAsiaTheme="minorHAnsi"/>
          <w:sz w:val="23"/>
          <w:szCs w:val="23"/>
          <w:lang w:eastAsia="en-US"/>
        </w:rPr>
        <w:t>Normalización de Ensayos No Destructivos</w:t>
      </w:r>
      <w:r>
        <w:rPr>
          <w:rFonts w:eastAsiaTheme="minorHAnsi"/>
          <w:sz w:val="23"/>
          <w:szCs w:val="23"/>
          <w:lang w:eastAsia="en-US"/>
        </w:rPr>
        <w:t xml:space="preserve"> en el país</w:t>
      </w:r>
    </w:p>
    <w:p w:rsidR="00654926" w:rsidRPr="00654926" w:rsidRDefault="00654926" w:rsidP="00654926">
      <w:pPr>
        <w:pStyle w:val="Prrafodelista"/>
        <w:numPr>
          <w:ilvl w:val="0"/>
          <w:numId w:val="31"/>
        </w:numPr>
        <w:tabs>
          <w:tab w:val="num" w:pos="0"/>
        </w:tabs>
        <w:spacing w:before="120" w:after="120"/>
        <w:jc w:val="both"/>
      </w:pPr>
      <w:r w:rsidRPr="00654926">
        <w:rPr>
          <w:rFonts w:eastAsiaTheme="minorHAnsi"/>
          <w:sz w:val="23"/>
          <w:szCs w:val="23"/>
          <w:lang w:eastAsia="en-US"/>
        </w:rPr>
        <w:t>Implementa</w:t>
      </w:r>
      <w:r w:rsidR="009F6067">
        <w:rPr>
          <w:rFonts w:eastAsiaTheme="minorHAnsi"/>
          <w:sz w:val="23"/>
          <w:szCs w:val="23"/>
          <w:lang w:eastAsia="en-US"/>
        </w:rPr>
        <w:t>dos</w:t>
      </w:r>
      <w:r w:rsidRPr="00654926">
        <w:rPr>
          <w:rFonts w:eastAsiaTheme="minorHAnsi"/>
          <w:sz w:val="23"/>
          <w:szCs w:val="23"/>
          <w:lang w:eastAsia="en-US"/>
        </w:rPr>
        <w:t xml:space="preserve"> nuevos sistemas dosimétricos de control de rutina, con la revisión de las normas existente y la creación de sus protocolos correspondientes.</w:t>
      </w:r>
    </w:p>
    <w:p w:rsidR="00654926" w:rsidRDefault="009F6067" w:rsidP="00654926">
      <w:pPr>
        <w:pStyle w:val="Prrafodelista"/>
        <w:numPr>
          <w:ilvl w:val="0"/>
          <w:numId w:val="31"/>
        </w:numPr>
        <w:autoSpaceDE w:val="0"/>
        <w:autoSpaceDN w:val="0"/>
        <w:adjustRightInd w:val="0"/>
        <w:ind w:left="709"/>
        <w:rPr>
          <w:rFonts w:eastAsiaTheme="minorHAnsi"/>
          <w:sz w:val="23"/>
          <w:szCs w:val="23"/>
          <w:lang w:eastAsia="en-US"/>
        </w:rPr>
      </w:pPr>
      <w:r>
        <w:rPr>
          <w:rFonts w:eastAsiaTheme="minorHAnsi"/>
          <w:sz w:val="23"/>
          <w:szCs w:val="23"/>
          <w:lang w:eastAsia="en-US"/>
        </w:rPr>
        <w:t xml:space="preserve">Validado </w:t>
      </w:r>
      <w:r w:rsidR="00654926" w:rsidRPr="00654926">
        <w:rPr>
          <w:rFonts w:eastAsiaTheme="minorHAnsi"/>
          <w:sz w:val="23"/>
          <w:szCs w:val="23"/>
          <w:lang w:eastAsia="en-US"/>
        </w:rPr>
        <w:t xml:space="preserve"> nuevo protocolo para el </w:t>
      </w:r>
      <w:proofErr w:type="spellStart"/>
      <w:r w:rsidR="00654926" w:rsidRPr="00654926">
        <w:rPr>
          <w:rFonts w:eastAsiaTheme="minorHAnsi"/>
          <w:b/>
          <w:bCs/>
          <w:sz w:val="23"/>
          <w:szCs w:val="23"/>
          <w:lang w:eastAsia="en-US"/>
        </w:rPr>
        <w:t>perfilaje</w:t>
      </w:r>
      <w:proofErr w:type="spellEnd"/>
      <w:r w:rsidR="00654926" w:rsidRPr="00654926">
        <w:rPr>
          <w:rFonts w:eastAsiaTheme="minorHAnsi"/>
          <w:b/>
          <w:bCs/>
          <w:sz w:val="23"/>
          <w:szCs w:val="23"/>
          <w:lang w:eastAsia="en-US"/>
        </w:rPr>
        <w:t xml:space="preserve"> nuclear </w:t>
      </w:r>
      <w:r w:rsidR="00654926" w:rsidRPr="00654926">
        <w:rPr>
          <w:rFonts w:eastAsiaTheme="minorHAnsi"/>
          <w:sz w:val="23"/>
          <w:szCs w:val="23"/>
          <w:lang w:eastAsia="en-US"/>
        </w:rPr>
        <w:t xml:space="preserve">de torres de destilación  de alcohol </w:t>
      </w:r>
    </w:p>
    <w:p w:rsidR="00654926" w:rsidRDefault="009F6067" w:rsidP="00654926">
      <w:pPr>
        <w:pStyle w:val="Prrafodelista"/>
        <w:numPr>
          <w:ilvl w:val="0"/>
          <w:numId w:val="31"/>
        </w:numPr>
        <w:autoSpaceDE w:val="0"/>
        <w:autoSpaceDN w:val="0"/>
        <w:adjustRightInd w:val="0"/>
        <w:ind w:left="709"/>
        <w:rPr>
          <w:rFonts w:eastAsiaTheme="minorHAnsi"/>
          <w:sz w:val="23"/>
          <w:szCs w:val="23"/>
          <w:lang w:eastAsia="en-US"/>
        </w:rPr>
      </w:pPr>
      <w:r>
        <w:rPr>
          <w:rFonts w:eastAsiaTheme="minorHAnsi"/>
          <w:sz w:val="23"/>
          <w:szCs w:val="23"/>
          <w:lang w:eastAsia="en-US"/>
        </w:rPr>
        <w:t xml:space="preserve">Desarrollada </w:t>
      </w:r>
      <w:r w:rsidR="00654926" w:rsidRPr="00654926">
        <w:rPr>
          <w:rFonts w:eastAsiaTheme="minorHAnsi"/>
          <w:sz w:val="23"/>
          <w:szCs w:val="23"/>
          <w:lang w:eastAsia="en-US"/>
        </w:rPr>
        <w:t>metodología para la evaluación de sistemas de tratamiento de residuales líquidos de origen industrial, empleando técnicas de radiotrazadores y analíticas complementarias</w:t>
      </w:r>
      <w:r w:rsidR="00654926">
        <w:rPr>
          <w:rFonts w:eastAsiaTheme="minorHAnsi"/>
          <w:sz w:val="23"/>
          <w:szCs w:val="23"/>
          <w:lang w:eastAsia="en-US"/>
        </w:rPr>
        <w:t>.</w:t>
      </w:r>
    </w:p>
    <w:p w:rsidR="00654926" w:rsidRPr="00654926" w:rsidRDefault="00654926" w:rsidP="00654926">
      <w:pPr>
        <w:pStyle w:val="Prrafodelista"/>
        <w:numPr>
          <w:ilvl w:val="0"/>
          <w:numId w:val="31"/>
        </w:numPr>
        <w:autoSpaceDE w:val="0"/>
        <w:autoSpaceDN w:val="0"/>
        <w:adjustRightInd w:val="0"/>
        <w:ind w:left="709"/>
        <w:rPr>
          <w:rFonts w:eastAsiaTheme="minorHAnsi"/>
          <w:sz w:val="23"/>
          <w:szCs w:val="23"/>
          <w:lang w:eastAsia="en-US"/>
        </w:rPr>
      </w:pPr>
      <w:r>
        <w:rPr>
          <w:color w:val="000000"/>
        </w:rPr>
        <w:t>Identificados los principales géneros de nematodos gastrointestinales presentes en escenarios productivos</w:t>
      </w:r>
    </w:p>
    <w:p w:rsidR="00654926" w:rsidRPr="0056274F" w:rsidRDefault="009F6067" w:rsidP="00654926">
      <w:pPr>
        <w:pStyle w:val="Prrafodelista"/>
        <w:numPr>
          <w:ilvl w:val="0"/>
          <w:numId w:val="31"/>
        </w:numPr>
        <w:spacing w:before="120"/>
        <w:jc w:val="both"/>
        <w:rPr>
          <w:b/>
        </w:rPr>
      </w:pPr>
      <w:r>
        <w:t>M</w:t>
      </w:r>
      <w:r w:rsidRPr="0016106B">
        <w:t>odela</w:t>
      </w:r>
      <w:r>
        <w:t xml:space="preserve">dos </w:t>
      </w:r>
      <w:r w:rsidRPr="0016106B">
        <w:t xml:space="preserve">escenarios </w:t>
      </w:r>
      <w:r>
        <w:t>de</w:t>
      </w:r>
      <w:r w:rsidRPr="0016106B">
        <w:t xml:space="preserve"> estima</w:t>
      </w:r>
      <w:r>
        <w:t>ción de</w:t>
      </w:r>
      <w:r w:rsidRPr="0016106B">
        <w:t xml:space="preserve"> las respuestas de cultivo de interés a diferentes volúmenes de agua disponibles para el riego</w:t>
      </w:r>
    </w:p>
    <w:p w:rsidR="0056274F" w:rsidRPr="009F6067" w:rsidRDefault="0056274F" w:rsidP="0056274F">
      <w:pPr>
        <w:pStyle w:val="Prrafodelista"/>
        <w:spacing w:before="120"/>
        <w:jc w:val="both"/>
        <w:rPr>
          <w:b/>
        </w:rPr>
      </w:pPr>
    </w:p>
    <w:p w:rsidR="009F6067" w:rsidRPr="009F6067" w:rsidRDefault="009F6067" w:rsidP="009F6067">
      <w:pPr>
        <w:spacing w:before="120"/>
        <w:ind w:left="360"/>
        <w:jc w:val="both"/>
        <w:rPr>
          <w:b/>
        </w:rPr>
      </w:pPr>
    </w:p>
    <w:p w:rsidR="00F23652" w:rsidRPr="0010169B" w:rsidRDefault="00F23652" w:rsidP="0010169B">
      <w:pPr>
        <w:pStyle w:val="Prrafodelista"/>
        <w:numPr>
          <w:ilvl w:val="0"/>
          <w:numId w:val="30"/>
        </w:numPr>
        <w:spacing w:before="120"/>
        <w:jc w:val="both"/>
        <w:rPr>
          <w:b/>
        </w:rPr>
      </w:pPr>
      <w:r w:rsidRPr="0010169B">
        <w:rPr>
          <w:b/>
        </w:rPr>
        <w:lastRenderedPageBreak/>
        <w:t>DIFICULTADES Y PROBLEMAS PRESENTADOS DURANTE LA MARCHA DEL PROYECTO Y DEL ACUERDO.</w:t>
      </w:r>
    </w:p>
    <w:p w:rsidR="00F23652" w:rsidRDefault="00F23652" w:rsidP="00F23652">
      <w:pPr>
        <w:spacing w:before="120"/>
        <w:jc w:val="both"/>
      </w:pPr>
      <w:r w:rsidRPr="00783144">
        <w:t xml:space="preserve">Se </w:t>
      </w:r>
      <w:r w:rsidR="0010169B" w:rsidRPr="00783144">
        <w:t>mencionarán</w:t>
      </w:r>
      <w:r w:rsidRPr="00783144">
        <w:t xml:space="preserve"> los problemas y dificultades presentados durante el desarrollo de</w:t>
      </w:r>
      <w:r>
        <w:t xml:space="preserve"> </w:t>
      </w:r>
      <w:r w:rsidRPr="00783144">
        <w:t>l</w:t>
      </w:r>
      <w:r>
        <w:t>os</w:t>
      </w:r>
      <w:r w:rsidRPr="00783144">
        <w:t xml:space="preserve"> proyectos, haciéndose énfasis en las soluciones.</w:t>
      </w:r>
    </w:p>
    <w:p w:rsidR="00EA76EA" w:rsidRDefault="00EA76EA" w:rsidP="00F23652">
      <w:pPr>
        <w:spacing w:before="120"/>
        <w:jc w:val="both"/>
      </w:pPr>
    </w:p>
    <w:p w:rsidR="00E9408E" w:rsidRDefault="00E9408E" w:rsidP="00F23652">
      <w:pPr>
        <w:spacing w:before="120"/>
        <w:jc w:val="both"/>
      </w:pPr>
      <w:r>
        <w:t>Los principales problemas se han centrado en:</w:t>
      </w:r>
    </w:p>
    <w:p w:rsidR="00E9408E" w:rsidRDefault="00E9408E" w:rsidP="00F23652">
      <w:pPr>
        <w:spacing w:before="120"/>
        <w:jc w:val="both"/>
      </w:pPr>
    </w:p>
    <w:p w:rsidR="00E9408E" w:rsidRPr="00E9408E" w:rsidRDefault="00E9408E" w:rsidP="009F6067">
      <w:pPr>
        <w:pStyle w:val="Prrafodelista"/>
        <w:numPr>
          <w:ilvl w:val="0"/>
          <w:numId w:val="32"/>
        </w:numPr>
        <w:spacing w:after="120"/>
        <w:rPr>
          <w:color w:val="000000"/>
        </w:rPr>
      </w:pPr>
      <w:r w:rsidRPr="0066491C">
        <w:rPr>
          <w:bCs/>
        </w:rPr>
        <w:t xml:space="preserve">Existen atrasos en la adquisición de los insumos de laboratorio y el equipamiento solicitado </w:t>
      </w:r>
      <w:r>
        <w:rPr>
          <w:bCs/>
        </w:rPr>
        <w:t>lo que han influido en las acciones a realizar en varios de los proyectos ( RLA 5076, RLA 5068; RLA 6079</w:t>
      </w:r>
    </w:p>
    <w:p w:rsidR="00E9408E" w:rsidRDefault="00E9408E" w:rsidP="009F6067">
      <w:pPr>
        <w:pStyle w:val="Prrafodelista"/>
        <w:numPr>
          <w:ilvl w:val="0"/>
          <w:numId w:val="32"/>
        </w:numPr>
        <w:spacing w:after="120"/>
        <w:rPr>
          <w:color w:val="000000"/>
        </w:rPr>
      </w:pPr>
      <w:r>
        <w:rPr>
          <w:color w:val="000000"/>
        </w:rPr>
        <w:t>Atrasos en la implementación de actividades que han influido en los resultados a obtener en el año (RLA0062)</w:t>
      </w:r>
    </w:p>
    <w:p w:rsidR="00E9408E" w:rsidRPr="00E9408E" w:rsidRDefault="00E9408E" w:rsidP="00E9408E">
      <w:pPr>
        <w:pStyle w:val="Prrafodelista"/>
        <w:numPr>
          <w:ilvl w:val="0"/>
          <w:numId w:val="32"/>
        </w:numPr>
        <w:spacing w:after="120"/>
        <w:rPr>
          <w:bCs/>
        </w:rPr>
      </w:pPr>
      <w:r>
        <w:rPr>
          <w:color w:val="000000"/>
        </w:rPr>
        <w:t xml:space="preserve">En el caso de los proyectos de salud humana han presentado </w:t>
      </w:r>
      <w:proofErr w:type="spellStart"/>
      <w:r>
        <w:rPr>
          <w:color w:val="000000"/>
        </w:rPr>
        <w:t>atrsos</w:t>
      </w:r>
      <w:proofErr w:type="spellEnd"/>
      <w:r>
        <w:rPr>
          <w:color w:val="000000"/>
        </w:rPr>
        <w:t xml:space="preserve"> con la implementación de las unidades Funcionales y en la aprobación ética para los estudios de nutrición  </w:t>
      </w:r>
    </w:p>
    <w:p w:rsidR="00E9408E" w:rsidRPr="00E9408E" w:rsidRDefault="00E9408E" w:rsidP="00E9408E">
      <w:pPr>
        <w:pStyle w:val="Prrafodelista"/>
        <w:numPr>
          <w:ilvl w:val="0"/>
          <w:numId w:val="32"/>
        </w:numPr>
        <w:spacing w:after="120"/>
        <w:rPr>
          <w:bCs/>
        </w:rPr>
      </w:pPr>
      <w:r w:rsidRPr="00E9408E">
        <w:rPr>
          <w:color w:val="000000"/>
        </w:rPr>
        <w:t>La legislación regulatoria en los países participantes, muestra amplias diferencias en el campo de la práctica de la medicina de radiaciones, observándose regulación pobre en algunos países y excesiva en otros.</w:t>
      </w:r>
    </w:p>
    <w:p w:rsidR="00EA76EA" w:rsidRDefault="00EA76EA" w:rsidP="00F23652">
      <w:pPr>
        <w:spacing w:before="120"/>
        <w:jc w:val="both"/>
      </w:pPr>
    </w:p>
    <w:p w:rsidR="00F23652" w:rsidRPr="00783144" w:rsidRDefault="00F23652" w:rsidP="00F23652">
      <w:pPr>
        <w:autoSpaceDN w:val="0"/>
        <w:spacing w:before="120"/>
        <w:ind w:left="270" w:hanging="270"/>
        <w:jc w:val="both"/>
        <w:rPr>
          <w:b/>
          <w:color w:val="000000"/>
        </w:rPr>
      </w:pPr>
      <w:r w:rsidRPr="00783144">
        <w:rPr>
          <w:b/>
          <w:color w:val="000000"/>
        </w:rPr>
        <w:t xml:space="preserve">4. </w:t>
      </w:r>
      <w:r w:rsidRPr="00783144">
        <w:rPr>
          <w:b/>
          <w:color w:val="000000"/>
        </w:rPr>
        <w:tab/>
        <w:t>ANEXOS</w:t>
      </w:r>
    </w:p>
    <w:p w:rsidR="00F23652" w:rsidRDefault="00F23652" w:rsidP="00F23652">
      <w:pPr>
        <w:tabs>
          <w:tab w:val="left" w:pos="720"/>
        </w:tabs>
        <w:autoSpaceDN w:val="0"/>
        <w:spacing w:after="120"/>
        <w:jc w:val="both"/>
        <w:rPr>
          <w:color w:val="000000"/>
        </w:rPr>
      </w:pPr>
    </w:p>
    <w:p w:rsidR="00F23652" w:rsidRDefault="00F23652" w:rsidP="00F23652">
      <w:pPr>
        <w:spacing w:after="120"/>
        <w:ind w:left="426" w:hanging="426"/>
        <w:jc w:val="both"/>
        <w:rPr>
          <w:color w:val="000000"/>
        </w:rPr>
      </w:pPr>
      <w:r w:rsidRPr="00783144">
        <w:rPr>
          <w:color w:val="000000"/>
        </w:rPr>
        <w:t>4.</w:t>
      </w:r>
      <w:r>
        <w:rPr>
          <w:color w:val="000000"/>
        </w:rPr>
        <w:t>1</w:t>
      </w:r>
      <w:r w:rsidRPr="00783144">
        <w:rPr>
          <w:color w:val="000000"/>
        </w:rPr>
        <w:t xml:space="preserve"> Recursos aportados por el país al programa (incluye la estimación detallada según tabla de indicadores financieros en especie).</w:t>
      </w:r>
    </w:p>
    <w:p w:rsidR="0070022D" w:rsidRDefault="0070022D" w:rsidP="00F23652">
      <w:pPr>
        <w:spacing w:after="120"/>
        <w:ind w:left="426" w:hanging="426"/>
        <w:jc w:val="both"/>
        <w:rPr>
          <w:color w:val="000000"/>
        </w:rPr>
      </w:pPr>
    </w:p>
    <w:p w:rsidR="0070022D" w:rsidRDefault="0070022D" w:rsidP="00F23652">
      <w:pPr>
        <w:spacing w:after="120"/>
        <w:ind w:left="426" w:hanging="426"/>
        <w:jc w:val="both"/>
        <w:rPr>
          <w:color w:val="000000"/>
        </w:rPr>
      </w:pPr>
    </w:p>
    <w:tbl>
      <w:tblPr>
        <w:tblStyle w:val="Tablaconcuadrcula"/>
        <w:tblW w:w="0" w:type="auto"/>
        <w:tblInd w:w="426" w:type="dxa"/>
        <w:tblLook w:val="04A0" w:firstRow="1" w:lastRow="0" w:firstColumn="1" w:lastColumn="0" w:noHBand="0" w:noVBand="1"/>
      </w:tblPr>
      <w:tblGrid>
        <w:gridCol w:w="3806"/>
        <w:gridCol w:w="3109"/>
        <w:gridCol w:w="1901"/>
      </w:tblGrid>
      <w:tr w:rsidR="0070022D" w:rsidTr="00D0595C">
        <w:tc>
          <w:tcPr>
            <w:tcW w:w="3806" w:type="dxa"/>
          </w:tcPr>
          <w:p w:rsidR="0070022D" w:rsidRPr="00783144" w:rsidRDefault="0070022D" w:rsidP="00AB62D7">
            <w:pPr>
              <w:tabs>
                <w:tab w:val="left" w:pos="720"/>
              </w:tabs>
              <w:autoSpaceDN w:val="0"/>
              <w:spacing w:after="120"/>
              <w:jc w:val="both"/>
              <w:rPr>
                <w:color w:val="000000"/>
              </w:rPr>
            </w:pPr>
            <w:r>
              <w:rPr>
                <w:color w:val="000000"/>
              </w:rPr>
              <w:t xml:space="preserve">Código y </w:t>
            </w:r>
            <w:r w:rsidRPr="00783144">
              <w:rPr>
                <w:color w:val="000000"/>
              </w:rPr>
              <w:t>Título de Proyecto</w:t>
            </w:r>
          </w:p>
        </w:tc>
        <w:tc>
          <w:tcPr>
            <w:tcW w:w="3109" w:type="dxa"/>
          </w:tcPr>
          <w:p w:rsidR="0070022D" w:rsidRPr="00783144" w:rsidRDefault="0070022D" w:rsidP="00AB62D7">
            <w:pPr>
              <w:tabs>
                <w:tab w:val="left" w:pos="720"/>
              </w:tabs>
              <w:autoSpaceDN w:val="0"/>
              <w:spacing w:after="120"/>
              <w:jc w:val="both"/>
              <w:rPr>
                <w:color w:val="000000"/>
              </w:rPr>
            </w:pPr>
            <w:r>
              <w:rPr>
                <w:color w:val="000000"/>
              </w:rPr>
              <w:t>Coordinador de</w:t>
            </w:r>
            <w:r w:rsidRPr="00783144">
              <w:rPr>
                <w:color w:val="000000"/>
              </w:rPr>
              <w:t>l Proyecto</w:t>
            </w:r>
          </w:p>
        </w:tc>
        <w:tc>
          <w:tcPr>
            <w:tcW w:w="1901" w:type="dxa"/>
          </w:tcPr>
          <w:p w:rsidR="0070022D" w:rsidRPr="00783144" w:rsidRDefault="0070022D" w:rsidP="00AB62D7">
            <w:pPr>
              <w:tabs>
                <w:tab w:val="left" w:pos="720"/>
              </w:tabs>
              <w:autoSpaceDN w:val="0"/>
              <w:spacing w:after="120"/>
              <w:jc w:val="both"/>
              <w:rPr>
                <w:color w:val="000000"/>
              </w:rPr>
            </w:pPr>
            <w:r w:rsidRPr="00783144">
              <w:rPr>
                <w:color w:val="000000"/>
              </w:rPr>
              <w:t>Aporte valorado</w:t>
            </w:r>
          </w:p>
        </w:tc>
      </w:tr>
      <w:tr w:rsidR="0070022D" w:rsidTr="00D0595C">
        <w:tc>
          <w:tcPr>
            <w:tcW w:w="3806" w:type="dxa"/>
          </w:tcPr>
          <w:p w:rsidR="0070022D" w:rsidRDefault="0070022D" w:rsidP="00F23652">
            <w:pPr>
              <w:spacing w:after="120"/>
              <w:jc w:val="both"/>
              <w:rPr>
                <w:color w:val="000000"/>
              </w:rPr>
            </w:pPr>
            <w:r>
              <w:rPr>
                <w:color w:val="000000"/>
              </w:rPr>
              <w:t xml:space="preserve">RLA0062: Promover la sostenibilidad y la creación de redes institucionales nacionales de energía nuclear (ARCAL </w:t>
            </w:r>
            <w:r w:rsidRPr="0070022D">
              <w:t>CLXIII)</w:t>
            </w:r>
          </w:p>
        </w:tc>
        <w:tc>
          <w:tcPr>
            <w:tcW w:w="3109" w:type="dxa"/>
          </w:tcPr>
          <w:p w:rsidR="0070022D" w:rsidRDefault="0070022D" w:rsidP="00F23652">
            <w:pPr>
              <w:spacing w:after="120"/>
              <w:jc w:val="both"/>
              <w:rPr>
                <w:color w:val="000000"/>
              </w:rPr>
            </w:pPr>
            <w:r>
              <w:rPr>
                <w:color w:val="000000"/>
              </w:rPr>
              <w:t xml:space="preserve">Manuel Fernández Rondón </w:t>
            </w:r>
          </w:p>
        </w:tc>
        <w:tc>
          <w:tcPr>
            <w:tcW w:w="1901" w:type="dxa"/>
          </w:tcPr>
          <w:p w:rsidR="0070022D" w:rsidRDefault="00AB62D7" w:rsidP="0070022D">
            <w:pPr>
              <w:spacing w:after="120"/>
              <w:ind w:right="379"/>
              <w:jc w:val="right"/>
              <w:rPr>
                <w:color w:val="000000"/>
              </w:rPr>
            </w:pPr>
            <w:r>
              <w:rPr>
                <w:color w:val="000000"/>
              </w:rPr>
              <w:t>11700</w:t>
            </w:r>
          </w:p>
        </w:tc>
      </w:tr>
      <w:tr w:rsidR="0070022D" w:rsidTr="00D0595C">
        <w:tc>
          <w:tcPr>
            <w:tcW w:w="3806" w:type="dxa"/>
          </w:tcPr>
          <w:p w:rsidR="0070022D" w:rsidRDefault="0070022D" w:rsidP="004034BE">
            <w:pPr>
              <w:autoSpaceDE w:val="0"/>
              <w:autoSpaceDN w:val="0"/>
              <w:adjustRightInd w:val="0"/>
              <w:rPr>
                <w:color w:val="000000"/>
              </w:rPr>
            </w:pPr>
            <w:r>
              <w:rPr>
                <w:color w:val="000000"/>
              </w:rPr>
              <w:t xml:space="preserve">RLA 1013: </w:t>
            </w:r>
            <w:r>
              <w:rPr>
                <w:rFonts w:eastAsiaTheme="minorHAnsi"/>
                <w:sz w:val="23"/>
                <w:szCs w:val="23"/>
                <w:lang w:eastAsia="en-US"/>
              </w:rPr>
              <w:t>Creación de experiencia en el uso</w:t>
            </w:r>
            <w:r w:rsidR="004034BE">
              <w:rPr>
                <w:rFonts w:eastAsiaTheme="minorHAnsi"/>
                <w:sz w:val="23"/>
                <w:szCs w:val="23"/>
                <w:lang w:eastAsia="en-US"/>
              </w:rPr>
              <w:t xml:space="preserve"> d</w:t>
            </w:r>
            <w:r>
              <w:rPr>
                <w:rFonts w:eastAsiaTheme="minorHAnsi"/>
                <w:sz w:val="23"/>
                <w:szCs w:val="23"/>
                <w:lang w:eastAsia="en-US"/>
              </w:rPr>
              <w:t xml:space="preserve">e Tecnología de radiación para mejorar el Desempeño industrial, el desarrollo de nuevos materiales y productos, y reducir el impacto ambiental dela industria </w:t>
            </w:r>
            <w:r>
              <w:t>(ARCAL CXLVI)</w:t>
            </w:r>
          </w:p>
        </w:tc>
        <w:tc>
          <w:tcPr>
            <w:tcW w:w="3109" w:type="dxa"/>
          </w:tcPr>
          <w:p w:rsidR="0070022D" w:rsidRDefault="0070022D" w:rsidP="00F23652">
            <w:pPr>
              <w:spacing w:after="120"/>
              <w:jc w:val="both"/>
              <w:rPr>
                <w:color w:val="000000"/>
              </w:rPr>
            </w:pPr>
            <w:r>
              <w:rPr>
                <w:color w:val="000000"/>
              </w:rPr>
              <w:t xml:space="preserve">Ramón Rodríguez Cardona </w:t>
            </w:r>
          </w:p>
          <w:p w:rsidR="0070022D" w:rsidRDefault="0070022D" w:rsidP="00F23652">
            <w:pPr>
              <w:spacing w:after="120"/>
              <w:jc w:val="both"/>
              <w:rPr>
                <w:color w:val="000000"/>
              </w:rPr>
            </w:pPr>
            <w:r>
              <w:rPr>
                <w:color w:val="000000"/>
              </w:rPr>
              <w:t xml:space="preserve">Enrique F. Prieto Miranda </w:t>
            </w:r>
          </w:p>
        </w:tc>
        <w:tc>
          <w:tcPr>
            <w:tcW w:w="1901" w:type="dxa"/>
          </w:tcPr>
          <w:p w:rsidR="0070022D" w:rsidRDefault="00AB62D7" w:rsidP="0070022D">
            <w:pPr>
              <w:spacing w:after="120"/>
              <w:ind w:right="379"/>
              <w:jc w:val="right"/>
              <w:rPr>
                <w:color w:val="000000"/>
              </w:rPr>
            </w:pPr>
            <w:r>
              <w:rPr>
                <w:color w:val="000000"/>
              </w:rPr>
              <w:t>11324</w:t>
            </w:r>
          </w:p>
        </w:tc>
      </w:tr>
      <w:tr w:rsidR="0070022D" w:rsidTr="00D0595C">
        <w:tc>
          <w:tcPr>
            <w:tcW w:w="3806" w:type="dxa"/>
          </w:tcPr>
          <w:p w:rsidR="00B27521" w:rsidRDefault="001E6A7E" w:rsidP="00B27521">
            <w:pPr>
              <w:autoSpaceDE w:val="0"/>
              <w:autoSpaceDN w:val="0"/>
              <w:adjustRightInd w:val="0"/>
              <w:rPr>
                <w:rFonts w:eastAsiaTheme="minorHAnsi"/>
                <w:sz w:val="23"/>
                <w:szCs w:val="23"/>
                <w:lang w:eastAsia="en-US"/>
              </w:rPr>
            </w:pPr>
            <w:r>
              <w:rPr>
                <w:color w:val="000000"/>
              </w:rPr>
              <w:t xml:space="preserve">RLA 1014 </w:t>
            </w:r>
            <w:r w:rsidR="00B27521">
              <w:rPr>
                <w:rFonts w:eastAsiaTheme="minorHAnsi"/>
                <w:sz w:val="23"/>
                <w:szCs w:val="23"/>
                <w:lang w:eastAsia="en-US"/>
              </w:rPr>
              <w:t>Fomento de las tecnologías de ensayos no destructivos para la inspección de estructuras</w:t>
            </w:r>
          </w:p>
          <w:p w:rsidR="0070022D" w:rsidRDefault="00B27521" w:rsidP="00B27521">
            <w:pPr>
              <w:spacing w:after="120"/>
              <w:jc w:val="both"/>
              <w:rPr>
                <w:color w:val="000000"/>
              </w:rPr>
            </w:pPr>
            <w:r>
              <w:rPr>
                <w:rFonts w:eastAsiaTheme="minorHAnsi"/>
                <w:sz w:val="23"/>
                <w:szCs w:val="23"/>
                <w:lang w:eastAsia="en-US"/>
              </w:rPr>
              <w:t>civiles e industriales (ARCAL CLIX)</w:t>
            </w:r>
          </w:p>
        </w:tc>
        <w:tc>
          <w:tcPr>
            <w:tcW w:w="3109" w:type="dxa"/>
          </w:tcPr>
          <w:p w:rsidR="0070022D" w:rsidRDefault="00B27521" w:rsidP="00B27521">
            <w:pPr>
              <w:spacing w:after="120"/>
              <w:jc w:val="both"/>
              <w:rPr>
                <w:color w:val="000000"/>
              </w:rPr>
            </w:pPr>
            <w:proofErr w:type="spellStart"/>
            <w:r>
              <w:rPr>
                <w:color w:val="000000"/>
              </w:rPr>
              <w:t>Felix</w:t>
            </w:r>
            <w:proofErr w:type="spellEnd"/>
            <w:r>
              <w:rPr>
                <w:color w:val="000000"/>
              </w:rPr>
              <w:t xml:space="preserve"> A. </w:t>
            </w:r>
            <w:proofErr w:type="spellStart"/>
            <w:r>
              <w:rPr>
                <w:color w:val="000000"/>
              </w:rPr>
              <w:t>Sendiya</w:t>
            </w:r>
            <w:proofErr w:type="spellEnd"/>
            <w:r>
              <w:rPr>
                <w:color w:val="000000"/>
              </w:rPr>
              <w:t xml:space="preserve"> Fuentes </w:t>
            </w:r>
          </w:p>
        </w:tc>
        <w:tc>
          <w:tcPr>
            <w:tcW w:w="1901" w:type="dxa"/>
          </w:tcPr>
          <w:p w:rsidR="0070022D" w:rsidRDefault="00AB62D7" w:rsidP="0070022D">
            <w:pPr>
              <w:spacing w:after="120"/>
              <w:ind w:right="379"/>
              <w:jc w:val="right"/>
              <w:rPr>
                <w:color w:val="000000"/>
              </w:rPr>
            </w:pPr>
            <w:r>
              <w:rPr>
                <w:color w:val="000000"/>
              </w:rPr>
              <w:t>7525</w:t>
            </w:r>
          </w:p>
        </w:tc>
      </w:tr>
      <w:tr w:rsidR="0070022D" w:rsidTr="00D0595C">
        <w:tc>
          <w:tcPr>
            <w:tcW w:w="3806" w:type="dxa"/>
          </w:tcPr>
          <w:p w:rsidR="0070022D" w:rsidRDefault="001E6A7E" w:rsidP="00B27521">
            <w:pPr>
              <w:autoSpaceDE w:val="0"/>
              <w:autoSpaceDN w:val="0"/>
              <w:adjustRightInd w:val="0"/>
              <w:rPr>
                <w:color w:val="000000"/>
              </w:rPr>
            </w:pPr>
            <w:r>
              <w:rPr>
                <w:color w:val="000000"/>
              </w:rPr>
              <w:t>RLA 1015</w:t>
            </w:r>
            <w:r w:rsidR="00B27521">
              <w:rPr>
                <w:color w:val="000000"/>
              </w:rPr>
              <w:t xml:space="preserve">: </w:t>
            </w:r>
            <w:r w:rsidR="00B27521" w:rsidRPr="00B27521">
              <w:rPr>
                <w:rFonts w:eastAsiaTheme="minorHAnsi"/>
                <w:bCs/>
                <w:sz w:val="23"/>
                <w:szCs w:val="23"/>
                <w:lang w:eastAsia="en-US"/>
              </w:rPr>
              <w:t xml:space="preserve">Armonización de los </w:t>
            </w:r>
            <w:r w:rsidR="00B27521" w:rsidRPr="00B27521">
              <w:rPr>
                <w:rFonts w:eastAsiaTheme="minorHAnsi"/>
                <w:bCs/>
                <w:sz w:val="23"/>
                <w:szCs w:val="23"/>
                <w:lang w:eastAsia="en-US"/>
              </w:rPr>
              <w:lastRenderedPageBreak/>
              <w:t>sistemas de</w:t>
            </w:r>
            <w:r w:rsidR="00B27521">
              <w:rPr>
                <w:rFonts w:eastAsiaTheme="minorHAnsi"/>
                <w:bCs/>
                <w:sz w:val="23"/>
                <w:szCs w:val="23"/>
                <w:lang w:eastAsia="en-US"/>
              </w:rPr>
              <w:t xml:space="preserve"> </w:t>
            </w:r>
            <w:r w:rsidR="00B27521" w:rsidRPr="00B27521">
              <w:rPr>
                <w:rFonts w:eastAsiaTheme="minorHAnsi"/>
                <w:bCs/>
                <w:sz w:val="23"/>
                <w:szCs w:val="23"/>
                <w:lang w:eastAsia="en-US"/>
              </w:rPr>
              <w:t>gestión integrada y los procedimientos de buenas prácticas de irradiación en las</w:t>
            </w:r>
            <w:r w:rsidR="00B27521">
              <w:rPr>
                <w:rFonts w:eastAsiaTheme="minorHAnsi"/>
                <w:bCs/>
                <w:sz w:val="23"/>
                <w:szCs w:val="23"/>
                <w:lang w:eastAsia="en-US"/>
              </w:rPr>
              <w:t xml:space="preserve"> </w:t>
            </w:r>
            <w:r w:rsidR="00B27521" w:rsidRPr="00B27521">
              <w:rPr>
                <w:rFonts w:eastAsiaTheme="minorHAnsi"/>
                <w:bCs/>
                <w:sz w:val="23"/>
                <w:szCs w:val="23"/>
                <w:lang w:eastAsia="en-US"/>
              </w:rPr>
              <w:t>instalaciones de irradiación</w:t>
            </w:r>
            <w:r>
              <w:rPr>
                <w:color w:val="000000"/>
              </w:rPr>
              <w:t xml:space="preserve"> </w:t>
            </w:r>
          </w:p>
        </w:tc>
        <w:tc>
          <w:tcPr>
            <w:tcW w:w="3109" w:type="dxa"/>
          </w:tcPr>
          <w:p w:rsidR="0070022D" w:rsidRDefault="00B27521" w:rsidP="00F23652">
            <w:pPr>
              <w:spacing w:after="120"/>
              <w:jc w:val="both"/>
              <w:rPr>
                <w:color w:val="000000"/>
              </w:rPr>
            </w:pPr>
            <w:r>
              <w:rPr>
                <w:color w:val="000000"/>
              </w:rPr>
              <w:lastRenderedPageBreak/>
              <w:t xml:space="preserve">Damaris Moreno </w:t>
            </w:r>
          </w:p>
          <w:p w:rsidR="00B27521" w:rsidRDefault="00B27521" w:rsidP="00F23652">
            <w:pPr>
              <w:spacing w:after="120"/>
              <w:jc w:val="both"/>
              <w:rPr>
                <w:color w:val="000000"/>
              </w:rPr>
            </w:pPr>
            <w:r>
              <w:rPr>
                <w:color w:val="000000"/>
              </w:rPr>
              <w:lastRenderedPageBreak/>
              <w:t xml:space="preserve">Enrique F. Prieto </w:t>
            </w:r>
          </w:p>
        </w:tc>
        <w:tc>
          <w:tcPr>
            <w:tcW w:w="1901" w:type="dxa"/>
          </w:tcPr>
          <w:p w:rsidR="0070022D" w:rsidRDefault="00AB62D7" w:rsidP="0070022D">
            <w:pPr>
              <w:spacing w:after="120"/>
              <w:ind w:right="379"/>
              <w:jc w:val="right"/>
              <w:rPr>
                <w:color w:val="000000"/>
              </w:rPr>
            </w:pPr>
            <w:r>
              <w:rPr>
                <w:color w:val="000000"/>
              </w:rPr>
              <w:lastRenderedPageBreak/>
              <w:t>10226</w:t>
            </w:r>
          </w:p>
        </w:tc>
      </w:tr>
      <w:tr w:rsidR="0070022D" w:rsidTr="00D0595C">
        <w:tc>
          <w:tcPr>
            <w:tcW w:w="3806" w:type="dxa"/>
          </w:tcPr>
          <w:p w:rsidR="0070022D" w:rsidRDefault="00B27521" w:rsidP="00B27521">
            <w:pPr>
              <w:autoSpaceDE w:val="0"/>
              <w:autoSpaceDN w:val="0"/>
              <w:adjustRightInd w:val="0"/>
              <w:rPr>
                <w:color w:val="000000"/>
              </w:rPr>
            </w:pPr>
            <w:r>
              <w:rPr>
                <w:color w:val="000000"/>
              </w:rPr>
              <w:lastRenderedPageBreak/>
              <w:t xml:space="preserve">RLA 1016: </w:t>
            </w:r>
            <w:r w:rsidRPr="00B27521">
              <w:rPr>
                <w:rFonts w:eastAsiaTheme="minorHAnsi"/>
                <w:color w:val="000000"/>
                <w:lang w:eastAsia="en-US"/>
              </w:rPr>
              <w:t>Certificación de los métodos de medición de flujo y las técnicas de calibración de los medidores de flujo utilizados en las industrias del petróleo y el gas por los radiotrazadores (ARCAL CLXI)</w:t>
            </w:r>
          </w:p>
        </w:tc>
        <w:tc>
          <w:tcPr>
            <w:tcW w:w="3109" w:type="dxa"/>
          </w:tcPr>
          <w:p w:rsidR="0070022D" w:rsidRDefault="00B27521" w:rsidP="00B27521">
            <w:pPr>
              <w:spacing w:after="120"/>
              <w:jc w:val="both"/>
              <w:rPr>
                <w:color w:val="000000"/>
              </w:rPr>
            </w:pPr>
            <w:r>
              <w:rPr>
                <w:color w:val="000000"/>
              </w:rPr>
              <w:t xml:space="preserve">Eduardo A. Capote </w:t>
            </w:r>
            <w:proofErr w:type="spellStart"/>
            <w:r>
              <w:rPr>
                <w:color w:val="000000"/>
              </w:rPr>
              <w:t>Ferrera</w:t>
            </w:r>
            <w:proofErr w:type="spellEnd"/>
            <w:r>
              <w:rPr>
                <w:color w:val="000000"/>
              </w:rPr>
              <w:t xml:space="preserve"> </w:t>
            </w:r>
          </w:p>
        </w:tc>
        <w:tc>
          <w:tcPr>
            <w:tcW w:w="1901" w:type="dxa"/>
          </w:tcPr>
          <w:p w:rsidR="0070022D" w:rsidRDefault="00AB62D7" w:rsidP="0070022D">
            <w:pPr>
              <w:spacing w:after="120"/>
              <w:ind w:right="379"/>
              <w:jc w:val="right"/>
              <w:rPr>
                <w:color w:val="000000"/>
              </w:rPr>
            </w:pPr>
            <w:r>
              <w:rPr>
                <w:color w:val="000000"/>
              </w:rPr>
              <w:t>7389</w:t>
            </w:r>
          </w:p>
        </w:tc>
      </w:tr>
      <w:tr w:rsidR="0070022D" w:rsidRPr="00B27521" w:rsidTr="00D0595C">
        <w:tc>
          <w:tcPr>
            <w:tcW w:w="3806" w:type="dxa"/>
            <w:shd w:val="clear" w:color="auto" w:fill="auto"/>
          </w:tcPr>
          <w:p w:rsidR="0070022D" w:rsidRPr="00B27521" w:rsidRDefault="001E6A7E" w:rsidP="00F23652">
            <w:pPr>
              <w:spacing w:after="120"/>
              <w:jc w:val="both"/>
              <w:rPr>
                <w:color w:val="000000"/>
                <w:lang w:val="en-US"/>
              </w:rPr>
            </w:pPr>
            <w:r w:rsidRPr="00B27521">
              <w:rPr>
                <w:color w:val="000000"/>
                <w:lang w:val="en-US"/>
              </w:rPr>
              <w:t>RLA 2016</w:t>
            </w:r>
            <w:r w:rsidR="00B27521" w:rsidRPr="00B27521">
              <w:rPr>
                <w:color w:val="000000"/>
                <w:lang w:val="en-US"/>
              </w:rPr>
              <w:t xml:space="preserve">: </w:t>
            </w:r>
            <w:r w:rsidR="00B27521" w:rsidRPr="00B27521">
              <w:rPr>
                <w:lang w:val="en-US"/>
              </w:rPr>
              <w:t xml:space="preserve">Supporting Formulation of Plans for Sustainable Energy Development at a </w:t>
            </w:r>
            <w:proofErr w:type="spellStart"/>
            <w:r w:rsidR="00B27521" w:rsidRPr="00B27521">
              <w:rPr>
                <w:lang w:val="en-US"/>
              </w:rPr>
              <w:t>Subregional</w:t>
            </w:r>
            <w:proofErr w:type="spellEnd"/>
            <w:r w:rsidR="00B27521" w:rsidRPr="00B27521">
              <w:rPr>
                <w:lang w:val="en-US"/>
              </w:rPr>
              <w:t xml:space="preserve"> Level - Stage II (ARCAL CLIII)</w:t>
            </w:r>
          </w:p>
        </w:tc>
        <w:tc>
          <w:tcPr>
            <w:tcW w:w="3109" w:type="dxa"/>
          </w:tcPr>
          <w:p w:rsidR="0070022D" w:rsidRPr="00B27521" w:rsidRDefault="00B27521" w:rsidP="00F23652">
            <w:pPr>
              <w:spacing w:after="120"/>
              <w:jc w:val="both"/>
              <w:rPr>
                <w:color w:val="000000"/>
                <w:lang w:val="en-US"/>
              </w:rPr>
            </w:pPr>
            <w:r>
              <w:rPr>
                <w:color w:val="000000"/>
                <w:lang w:val="en-US"/>
              </w:rPr>
              <w:t xml:space="preserve">David Pérez Medina </w:t>
            </w:r>
          </w:p>
        </w:tc>
        <w:tc>
          <w:tcPr>
            <w:tcW w:w="1901" w:type="dxa"/>
          </w:tcPr>
          <w:p w:rsidR="0070022D" w:rsidRPr="00B27521" w:rsidRDefault="00AB62D7" w:rsidP="0070022D">
            <w:pPr>
              <w:spacing w:after="120"/>
              <w:ind w:right="379"/>
              <w:jc w:val="right"/>
              <w:rPr>
                <w:color w:val="000000"/>
                <w:lang w:val="en-US"/>
              </w:rPr>
            </w:pPr>
            <w:r>
              <w:rPr>
                <w:color w:val="000000"/>
                <w:lang w:val="en-US"/>
              </w:rPr>
              <w:t>8498</w:t>
            </w:r>
          </w:p>
        </w:tc>
      </w:tr>
      <w:tr w:rsidR="001E6A7E" w:rsidRPr="009F1E13" w:rsidTr="00D0595C">
        <w:tc>
          <w:tcPr>
            <w:tcW w:w="3806" w:type="dxa"/>
          </w:tcPr>
          <w:p w:rsidR="001E6A7E" w:rsidRPr="009F1E13" w:rsidRDefault="001E6A7E" w:rsidP="00F23652">
            <w:pPr>
              <w:spacing w:after="120"/>
              <w:jc w:val="both"/>
              <w:rPr>
                <w:color w:val="000000"/>
                <w:lang w:val="en-US"/>
              </w:rPr>
            </w:pPr>
            <w:r w:rsidRPr="009F1E13">
              <w:rPr>
                <w:color w:val="000000"/>
                <w:lang w:val="en-US"/>
              </w:rPr>
              <w:t>RLA 5068</w:t>
            </w:r>
            <w:r w:rsidR="00B27521" w:rsidRPr="009F1E13">
              <w:rPr>
                <w:color w:val="000000"/>
                <w:lang w:val="en-US"/>
              </w:rPr>
              <w:t xml:space="preserve">: </w:t>
            </w:r>
            <w:r w:rsidR="009F1E13" w:rsidRPr="009F1E13">
              <w:rPr>
                <w:lang w:val="en-US"/>
              </w:rPr>
              <w:t>Improving Yield and Commercial Potential of Crops of Economic Importance (ARCAL CL)</w:t>
            </w:r>
          </w:p>
        </w:tc>
        <w:tc>
          <w:tcPr>
            <w:tcW w:w="3109" w:type="dxa"/>
          </w:tcPr>
          <w:p w:rsidR="001E6A7E" w:rsidRPr="009F1E13" w:rsidRDefault="009F1E13" w:rsidP="00F23652">
            <w:pPr>
              <w:spacing w:after="120"/>
              <w:jc w:val="both"/>
              <w:rPr>
                <w:color w:val="000000"/>
              </w:rPr>
            </w:pPr>
            <w:r w:rsidRPr="009F1E13">
              <w:rPr>
                <w:color w:val="000000"/>
              </w:rPr>
              <w:t xml:space="preserve">María C. </w:t>
            </w:r>
            <w:r>
              <w:rPr>
                <w:color w:val="000000"/>
              </w:rPr>
              <w:t xml:space="preserve">Gonzalez </w:t>
            </w:r>
            <w:proofErr w:type="spellStart"/>
            <w:r>
              <w:rPr>
                <w:color w:val="000000"/>
              </w:rPr>
              <w:t>Gonzalez</w:t>
            </w:r>
            <w:proofErr w:type="spellEnd"/>
            <w:r>
              <w:rPr>
                <w:color w:val="000000"/>
              </w:rPr>
              <w:t xml:space="preserve"> </w:t>
            </w:r>
          </w:p>
        </w:tc>
        <w:tc>
          <w:tcPr>
            <w:tcW w:w="1901" w:type="dxa"/>
          </w:tcPr>
          <w:p w:rsidR="001E6A7E" w:rsidRPr="009F1E13" w:rsidRDefault="00AB62D7" w:rsidP="0070022D">
            <w:pPr>
              <w:spacing w:after="120"/>
              <w:ind w:right="379"/>
              <w:jc w:val="right"/>
              <w:rPr>
                <w:color w:val="000000"/>
              </w:rPr>
            </w:pPr>
            <w:r>
              <w:rPr>
                <w:color w:val="000000"/>
              </w:rPr>
              <w:t>15180</w:t>
            </w:r>
          </w:p>
        </w:tc>
      </w:tr>
      <w:tr w:rsidR="001E6A7E" w:rsidRPr="00AE5574" w:rsidTr="00D0595C">
        <w:tc>
          <w:tcPr>
            <w:tcW w:w="3806" w:type="dxa"/>
          </w:tcPr>
          <w:p w:rsidR="001E6A7E" w:rsidRPr="00AE5574" w:rsidRDefault="001E6A7E" w:rsidP="00AB62D7">
            <w:pPr>
              <w:spacing w:after="120"/>
              <w:jc w:val="both"/>
              <w:rPr>
                <w:color w:val="000000"/>
                <w:lang w:val="en-US"/>
              </w:rPr>
            </w:pPr>
            <w:r w:rsidRPr="00AE5574">
              <w:rPr>
                <w:color w:val="000000"/>
                <w:lang w:val="en-US"/>
              </w:rPr>
              <w:t>RLA 5071</w:t>
            </w:r>
            <w:r w:rsidR="00AE5574" w:rsidRPr="00AE5574">
              <w:rPr>
                <w:color w:val="000000"/>
                <w:lang w:val="en-US"/>
              </w:rPr>
              <w:t xml:space="preserve">: </w:t>
            </w:r>
            <w:r w:rsidR="00AE5574" w:rsidRPr="00AE5574">
              <w:rPr>
                <w:lang w:val="en-US"/>
              </w:rPr>
              <w:t>Decreasing the Parasite Infestation Rate of Sheep (ARCAL CXLIV)</w:t>
            </w:r>
          </w:p>
        </w:tc>
        <w:tc>
          <w:tcPr>
            <w:tcW w:w="3109" w:type="dxa"/>
          </w:tcPr>
          <w:p w:rsidR="001E6A7E" w:rsidRPr="00AE5574" w:rsidRDefault="00AE5574" w:rsidP="00AB62D7">
            <w:pPr>
              <w:spacing w:after="120"/>
              <w:jc w:val="both"/>
              <w:rPr>
                <w:color w:val="000000"/>
                <w:lang w:val="en-US"/>
              </w:rPr>
            </w:pPr>
            <w:r>
              <w:rPr>
                <w:color w:val="000000"/>
                <w:lang w:val="en-US"/>
              </w:rPr>
              <w:t xml:space="preserve">Jorge I. Acosta </w:t>
            </w:r>
            <w:proofErr w:type="spellStart"/>
            <w:r>
              <w:rPr>
                <w:color w:val="000000"/>
                <w:lang w:val="en-US"/>
              </w:rPr>
              <w:t>Albiol</w:t>
            </w:r>
            <w:proofErr w:type="spellEnd"/>
            <w:r>
              <w:rPr>
                <w:color w:val="000000"/>
                <w:lang w:val="en-US"/>
              </w:rPr>
              <w:t xml:space="preserve"> </w:t>
            </w:r>
          </w:p>
        </w:tc>
        <w:tc>
          <w:tcPr>
            <w:tcW w:w="1901" w:type="dxa"/>
          </w:tcPr>
          <w:p w:rsidR="001E6A7E" w:rsidRPr="00AE5574" w:rsidRDefault="00AB62D7" w:rsidP="00AB62D7">
            <w:pPr>
              <w:spacing w:after="120"/>
              <w:ind w:right="379"/>
              <w:jc w:val="right"/>
              <w:rPr>
                <w:color w:val="000000"/>
                <w:lang w:val="en-US"/>
              </w:rPr>
            </w:pPr>
            <w:r>
              <w:rPr>
                <w:color w:val="000000"/>
                <w:lang w:val="en-US"/>
              </w:rPr>
              <w:t>10425</w:t>
            </w:r>
          </w:p>
        </w:tc>
      </w:tr>
      <w:tr w:rsidR="001E6A7E" w:rsidTr="00D0595C">
        <w:tc>
          <w:tcPr>
            <w:tcW w:w="3806" w:type="dxa"/>
          </w:tcPr>
          <w:p w:rsidR="001E6A7E" w:rsidRDefault="001E6A7E" w:rsidP="00AE5574">
            <w:pPr>
              <w:jc w:val="both"/>
              <w:rPr>
                <w:color w:val="000000"/>
              </w:rPr>
            </w:pPr>
            <w:r>
              <w:rPr>
                <w:color w:val="000000"/>
              </w:rPr>
              <w:t>RLA 5076</w:t>
            </w:r>
            <w:r w:rsidR="00AE5574">
              <w:rPr>
                <w:color w:val="000000"/>
              </w:rPr>
              <w:t xml:space="preserve">: </w:t>
            </w:r>
            <w:r w:rsidR="00AE5574" w:rsidRPr="007477A8">
              <w:t>Fortalecimiento de los sistemas de vigilancia y Programas de Monitoreo de Obras hidráulicas usando técnicas nucleares para evaluar los impactos de la sedimentación como riesgo ambiental y social.</w:t>
            </w:r>
          </w:p>
        </w:tc>
        <w:tc>
          <w:tcPr>
            <w:tcW w:w="3109" w:type="dxa"/>
          </w:tcPr>
          <w:p w:rsidR="001E6A7E" w:rsidRDefault="00AE5574" w:rsidP="00AB62D7">
            <w:pPr>
              <w:spacing w:after="120"/>
              <w:jc w:val="both"/>
              <w:rPr>
                <w:color w:val="000000"/>
              </w:rPr>
            </w:pPr>
            <w:r>
              <w:rPr>
                <w:color w:val="000000"/>
              </w:rPr>
              <w:t xml:space="preserve">José Peralta Vital </w:t>
            </w:r>
          </w:p>
        </w:tc>
        <w:tc>
          <w:tcPr>
            <w:tcW w:w="1901" w:type="dxa"/>
          </w:tcPr>
          <w:p w:rsidR="001E6A7E" w:rsidRDefault="00AB62D7" w:rsidP="00AB62D7">
            <w:pPr>
              <w:spacing w:after="120"/>
              <w:ind w:right="379"/>
              <w:jc w:val="right"/>
              <w:rPr>
                <w:color w:val="000000"/>
              </w:rPr>
            </w:pPr>
            <w:r>
              <w:rPr>
                <w:color w:val="000000"/>
              </w:rPr>
              <w:t>12496</w:t>
            </w:r>
          </w:p>
        </w:tc>
      </w:tr>
      <w:tr w:rsidR="001E6A7E" w:rsidTr="00D0595C">
        <w:tc>
          <w:tcPr>
            <w:tcW w:w="3806" w:type="dxa"/>
          </w:tcPr>
          <w:p w:rsidR="001E6A7E" w:rsidRDefault="001E6A7E" w:rsidP="00AB62D7">
            <w:pPr>
              <w:spacing w:after="120"/>
              <w:jc w:val="both"/>
              <w:rPr>
                <w:color w:val="000000"/>
              </w:rPr>
            </w:pPr>
            <w:r>
              <w:rPr>
                <w:color w:val="000000"/>
              </w:rPr>
              <w:t>RLA 5077</w:t>
            </w:r>
            <w:r w:rsidR="00AE5574">
              <w:rPr>
                <w:color w:val="000000"/>
              </w:rPr>
              <w:t xml:space="preserve">: </w:t>
            </w:r>
            <w:r w:rsidR="00AE5574" w:rsidRPr="00C162B6">
              <w:t>“Incremento de los Medios de Subsistencia Mediante la Mejora de la Eficiencia en el Uso del Agua Asociada a la Estrategia de Adaptación y Mitigación del Cambio Climático en la Agricultura”,</w:t>
            </w:r>
          </w:p>
        </w:tc>
        <w:tc>
          <w:tcPr>
            <w:tcW w:w="3109" w:type="dxa"/>
          </w:tcPr>
          <w:p w:rsidR="001E6A7E" w:rsidRDefault="00AE5574" w:rsidP="00AB62D7">
            <w:pPr>
              <w:spacing w:after="120"/>
              <w:jc w:val="both"/>
              <w:rPr>
                <w:color w:val="000000"/>
              </w:rPr>
            </w:pPr>
            <w:r>
              <w:rPr>
                <w:color w:val="000000"/>
              </w:rPr>
              <w:t xml:space="preserve">Rita </w:t>
            </w:r>
            <w:proofErr w:type="spellStart"/>
            <w:r>
              <w:rPr>
                <w:color w:val="000000"/>
              </w:rPr>
              <w:t>Sibello</w:t>
            </w:r>
            <w:proofErr w:type="spellEnd"/>
            <w:r>
              <w:rPr>
                <w:color w:val="000000"/>
              </w:rPr>
              <w:t xml:space="preserve"> Hernández </w:t>
            </w:r>
          </w:p>
        </w:tc>
        <w:tc>
          <w:tcPr>
            <w:tcW w:w="1901" w:type="dxa"/>
          </w:tcPr>
          <w:p w:rsidR="001E6A7E" w:rsidRDefault="00AB62D7" w:rsidP="00AB62D7">
            <w:pPr>
              <w:spacing w:after="120"/>
              <w:ind w:right="379"/>
              <w:jc w:val="right"/>
              <w:rPr>
                <w:color w:val="000000"/>
              </w:rPr>
            </w:pPr>
            <w:r>
              <w:rPr>
                <w:color w:val="000000"/>
              </w:rPr>
              <w:t>9892</w:t>
            </w:r>
          </w:p>
        </w:tc>
      </w:tr>
      <w:tr w:rsidR="001E6A7E" w:rsidRPr="00AE5574" w:rsidTr="00D0595C">
        <w:tc>
          <w:tcPr>
            <w:tcW w:w="3806" w:type="dxa"/>
          </w:tcPr>
          <w:p w:rsidR="001E6A7E" w:rsidRPr="00AE5574" w:rsidRDefault="001E6A7E" w:rsidP="00AB62D7">
            <w:pPr>
              <w:spacing w:after="120"/>
              <w:jc w:val="both"/>
              <w:rPr>
                <w:color w:val="000000"/>
                <w:lang w:val="en-US"/>
              </w:rPr>
            </w:pPr>
            <w:r w:rsidRPr="00AE5574">
              <w:rPr>
                <w:color w:val="000000"/>
                <w:lang w:val="en-US"/>
              </w:rPr>
              <w:t>RLA 5078</w:t>
            </w:r>
            <w:r w:rsidR="00AE5574" w:rsidRPr="00AE5574">
              <w:rPr>
                <w:color w:val="000000"/>
                <w:lang w:val="en-US"/>
              </w:rPr>
              <w:t xml:space="preserve">: </w:t>
            </w:r>
            <w:r w:rsidR="00AE5574" w:rsidRPr="00AE5574">
              <w:rPr>
                <w:lang w:val="en-US"/>
              </w:rPr>
              <w:t>Improving Yield and Commercial Potential of Crops of Economic Importance (ARCAL CL)</w:t>
            </w:r>
          </w:p>
        </w:tc>
        <w:tc>
          <w:tcPr>
            <w:tcW w:w="3109" w:type="dxa"/>
          </w:tcPr>
          <w:p w:rsidR="001E6A7E" w:rsidRPr="00AE5574" w:rsidRDefault="00AE5574" w:rsidP="00AB62D7">
            <w:pPr>
              <w:spacing w:after="120"/>
              <w:jc w:val="both"/>
              <w:rPr>
                <w:color w:val="000000"/>
              </w:rPr>
            </w:pPr>
            <w:r w:rsidRPr="00AE5574">
              <w:rPr>
                <w:color w:val="000000"/>
              </w:rPr>
              <w:t xml:space="preserve">María C. </w:t>
            </w:r>
            <w:r>
              <w:rPr>
                <w:color w:val="000000"/>
              </w:rPr>
              <w:t xml:space="preserve">Gonzalez </w:t>
            </w:r>
            <w:proofErr w:type="spellStart"/>
            <w:r>
              <w:rPr>
                <w:color w:val="000000"/>
              </w:rPr>
              <w:t>Gonzalez</w:t>
            </w:r>
            <w:proofErr w:type="spellEnd"/>
            <w:r>
              <w:rPr>
                <w:color w:val="000000"/>
              </w:rPr>
              <w:t xml:space="preserve"> </w:t>
            </w:r>
          </w:p>
        </w:tc>
        <w:tc>
          <w:tcPr>
            <w:tcW w:w="1901" w:type="dxa"/>
          </w:tcPr>
          <w:p w:rsidR="001E6A7E" w:rsidRPr="00AE5574" w:rsidRDefault="00AB62D7" w:rsidP="00AB62D7">
            <w:pPr>
              <w:spacing w:after="120"/>
              <w:ind w:right="379"/>
              <w:jc w:val="right"/>
              <w:rPr>
                <w:color w:val="000000"/>
              </w:rPr>
            </w:pPr>
            <w:r>
              <w:rPr>
                <w:color w:val="000000"/>
              </w:rPr>
              <w:t>13225</w:t>
            </w:r>
          </w:p>
        </w:tc>
      </w:tr>
      <w:tr w:rsidR="001E6A7E" w:rsidTr="00D0595C">
        <w:tc>
          <w:tcPr>
            <w:tcW w:w="3806" w:type="dxa"/>
          </w:tcPr>
          <w:p w:rsidR="001E6A7E" w:rsidRDefault="001E6A7E" w:rsidP="00AB62D7">
            <w:pPr>
              <w:spacing w:after="120"/>
              <w:jc w:val="both"/>
              <w:rPr>
                <w:color w:val="000000"/>
              </w:rPr>
            </w:pPr>
            <w:r>
              <w:rPr>
                <w:color w:val="000000"/>
              </w:rPr>
              <w:t>RLA 6077</w:t>
            </w:r>
            <w:r w:rsidR="00FE71B0">
              <w:rPr>
                <w:color w:val="000000"/>
              </w:rPr>
              <w:t xml:space="preserve">: </w:t>
            </w:r>
            <w:r w:rsidR="00FE71B0" w:rsidRPr="00FE71B0">
              <w:t>“Toma de acciones estratégicas para el fortalecer las capacidades de diagnóstico y tratamiento de cáncer” (ARCAL CXLVIII).</w:t>
            </w:r>
          </w:p>
        </w:tc>
        <w:tc>
          <w:tcPr>
            <w:tcW w:w="3109" w:type="dxa"/>
          </w:tcPr>
          <w:p w:rsidR="001E6A7E" w:rsidRDefault="00FE71B0" w:rsidP="00AB62D7">
            <w:pPr>
              <w:spacing w:after="120"/>
              <w:jc w:val="both"/>
              <w:rPr>
                <w:color w:val="000000"/>
              </w:rPr>
            </w:pPr>
            <w:r>
              <w:rPr>
                <w:color w:val="000000"/>
              </w:rPr>
              <w:t xml:space="preserve">Carlos F. Calderón </w:t>
            </w:r>
          </w:p>
        </w:tc>
        <w:tc>
          <w:tcPr>
            <w:tcW w:w="1901" w:type="dxa"/>
          </w:tcPr>
          <w:p w:rsidR="001E6A7E" w:rsidRDefault="00AB62D7" w:rsidP="00AB62D7">
            <w:pPr>
              <w:spacing w:after="120"/>
              <w:ind w:right="379"/>
              <w:jc w:val="right"/>
              <w:rPr>
                <w:color w:val="000000"/>
              </w:rPr>
            </w:pPr>
            <w:r>
              <w:rPr>
                <w:color w:val="000000"/>
              </w:rPr>
              <w:t>9456</w:t>
            </w:r>
          </w:p>
        </w:tc>
      </w:tr>
      <w:tr w:rsidR="001E6A7E" w:rsidTr="00D0595C">
        <w:tc>
          <w:tcPr>
            <w:tcW w:w="3806" w:type="dxa"/>
          </w:tcPr>
          <w:p w:rsidR="001E6A7E" w:rsidRDefault="001E6A7E" w:rsidP="00FE71B0">
            <w:pPr>
              <w:spacing w:after="120"/>
              <w:jc w:val="both"/>
              <w:rPr>
                <w:color w:val="000000"/>
              </w:rPr>
            </w:pPr>
            <w:r>
              <w:rPr>
                <w:color w:val="000000"/>
              </w:rPr>
              <w:t>RLA 6079</w:t>
            </w:r>
            <w:r w:rsidR="00FE71B0">
              <w:rPr>
                <w:color w:val="000000"/>
              </w:rPr>
              <w:t xml:space="preserve">: </w:t>
            </w:r>
            <w:r w:rsidR="00FE71B0" w:rsidRPr="00FE71B0">
              <w:rPr>
                <w:color w:val="000000"/>
              </w:rPr>
              <w:t>Uso de técnicas de isótopos estables para el monitoreo y las intervenciones para mejorar la nutrición del niño pequeño</w:t>
            </w:r>
          </w:p>
        </w:tc>
        <w:tc>
          <w:tcPr>
            <w:tcW w:w="3109" w:type="dxa"/>
          </w:tcPr>
          <w:p w:rsidR="001E6A7E" w:rsidRDefault="00FE71B0" w:rsidP="00AB62D7">
            <w:pPr>
              <w:spacing w:after="120"/>
              <w:jc w:val="both"/>
              <w:rPr>
                <w:color w:val="000000"/>
              </w:rPr>
            </w:pPr>
            <w:r>
              <w:rPr>
                <w:color w:val="000000"/>
              </w:rPr>
              <w:t xml:space="preserve">María E. Díaz Sanchez </w:t>
            </w:r>
          </w:p>
        </w:tc>
        <w:tc>
          <w:tcPr>
            <w:tcW w:w="1901" w:type="dxa"/>
          </w:tcPr>
          <w:p w:rsidR="001E6A7E" w:rsidRDefault="00AB62D7" w:rsidP="00AB62D7">
            <w:pPr>
              <w:spacing w:after="120"/>
              <w:ind w:right="379"/>
              <w:jc w:val="right"/>
              <w:rPr>
                <w:color w:val="000000"/>
              </w:rPr>
            </w:pPr>
            <w:r>
              <w:rPr>
                <w:color w:val="000000"/>
              </w:rPr>
              <w:t>10892</w:t>
            </w:r>
          </w:p>
        </w:tc>
      </w:tr>
      <w:tr w:rsidR="001E6A7E" w:rsidTr="00D0595C">
        <w:tc>
          <w:tcPr>
            <w:tcW w:w="3806" w:type="dxa"/>
          </w:tcPr>
          <w:p w:rsidR="001E6A7E" w:rsidRDefault="001E6A7E" w:rsidP="00FE71B0">
            <w:pPr>
              <w:pStyle w:val="Default"/>
            </w:pPr>
            <w:r w:rsidRPr="00FE71B0">
              <w:lastRenderedPageBreak/>
              <w:t>RLA 6080</w:t>
            </w:r>
            <w:r w:rsidR="00FE71B0" w:rsidRPr="00FE71B0">
              <w:t xml:space="preserve">: </w:t>
            </w:r>
            <w:r w:rsidR="00FE71B0" w:rsidRPr="00FE71B0">
              <w:rPr>
                <w:bCs/>
                <w:sz w:val="23"/>
                <w:szCs w:val="23"/>
              </w:rPr>
              <w:t>Armonización de Criterios en Buenas Prácticas de Producción y Control de Radioisótopos y Radiofármacos (ARCAL CLII)</w:t>
            </w:r>
          </w:p>
        </w:tc>
        <w:tc>
          <w:tcPr>
            <w:tcW w:w="3109" w:type="dxa"/>
          </w:tcPr>
          <w:p w:rsidR="001E6A7E" w:rsidRDefault="00FE71B0" w:rsidP="00AB62D7">
            <w:pPr>
              <w:spacing w:after="120"/>
              <w:jc w:val="both"/>
              <w:rPr>
                <w:color w:val="000000"/>
              </w:rPr>
            </w:pPr>
            <w:r>
              <w:rPr>
                <w:color w:val="000000"/>
              </w:rPr>
              <w:t xml:space="preserve">Alejandro Alberti Ramirez </w:t>
            </w:r>
          </w:p>
        </w:tc>
        <w:tc>
          <w:tcPr>
            <w:tcW w:w="1901" w:type="dxa"/>
          </w:tcPr>
          <w:p w:rsidR="001E6A7E" w:rsidRDefault="00AB62D7" w:rsidP="00AB62D7">
            <w:pPr>
              <w:spacing w:after="120"/>
              <w:ind w:right="379"/>
              <w:jc w:val="right"/>
              <w:rPr>
                <w:color w:val="000000"/>
              </w:rPr>
            </w:pPr>
            <w:r>
              <w:rPr>
                <w:color w:val="000000"/>
              </w:rPr>
              <w:t>3800</w:t>
            </w:r>
          </w:p>
        </w:tc>
      </w:tr>
      <w:tr w:rsidR="00BA4AB1" w:rsidTr="00D0595C">
        <w:tc>
          <w:tcPr>
            <w:tcW w:w="3806" w:type="dxa"/>
          </w:tcPr>
          <w:p w:rsidR="00BA4AB1" w:rsidRPr="00BA4AB1" w:rsidRDefault="00BA4AB1" w:rsidP="00BA4AB1">
            <w:pPr>
              <w:spacing w:after="120"/>
              <w:rPr>
                <w:color w:val="000000"/>
              </w:rPr>
            </w:pPr>
            <w:r w:rsidRPr="00BA4AB1">
              <w:rPr>
                <w:color w:val="000000"/>
              </w:rPr>
              <w:t>RLA 7022 Fortalecimiento del Monitoreo Regional y</w:t>
            </w:r>
            <w:r>
              <w:rPr>
                <w:color w:val="000000"/>
              </w:rPr>
              <w:t xml:space="preserve"> </w:t>
            </w:r>
            <w:r w:rsidRPr="00BA4AB1">
              <w:rPr>
                <w:color w:val="000000"/>
              </w:rPr>
              <w:t>Respuesta para la sostenibilidad marina y</w:t>
            </w:r>
            <w:r w:rsidRPr="00BA4AB1">
              <w:rPr>
                <w:color w:val="000000"/>
              </w:rPr>
              <w:br/>
            </w:r>
            <w:r w:rsidRPr="00BA4AB1">
              <w:rPr>
                <w:color w:val="000000"/>
              </w:rPr>
              <w:t>Entornos costeros (ARCAL CXLV)</w:t>
            </w:r>
          </w:p>
        </w:tc>
        <w:tc>
          <w:tcPr>
            <w:tcW w:w="3109" w:type="dxa"/>
          </w:tcPr>
          <w:p w:rsidR="00BA4AB1" w:rsidRDefault="00BA4AB1" w:rsidP="00AB62D7">
            <w:pPr>
              <w:spacing w:after="120"/>
              <w:jc w:val="both"/>
              <w:rPr>
                <w:color w:val="000000"/>
              </w:rPr>
            </w:pPr>
            <w:r>
              <w:rPr>
                <w:color w:val="000000"/>
              </w:rPr>
              <w:t>Carlos Alonso</w:t>
            </w:r>
          </w:p>
        </w:tc>
        <w:tc>
          <w:tcPr>
            <w:tcW w:w="1901" w:type="dxa"/>
          </w:tcPr>
          <w:p w:rsidR="00BA4AB1" w:rsidRDefault="00BA4AB1" w:rsidP="00AB62D7">
            <w:pPr>
              <w:spacing w:after="120"/>
              <w:ind w:right="379"/>
              <w:jc w:val="right"/>
              <w:rPr>
                <w:color w:val="000000"/>
              </w:rPr>
            </w:pPr>
            <w:r>
              <w:rPr>
                <w:color w:val="000000"/>
              </w:rPr>
              <w:t>13525</w:t>
            </w:r>
          </w:p>
        </w:tc>
      </w:tr>
      <w:tr w:rsidR="001E6A7E" w:rsidTr="00D0595C">
        <w:tc>
          <w:tcPr>
            <w:tcW w:w="3806" w:type="dxa"/>
          </w:tcPr>
          <w:p w:rsidR="001E6A7E" w:rsidRPr="00801CDD" w:rsidRDefault="001E6A7E" w:rsidP="001E6A7E">
            <w:pPr>
              <w:spacing w:after="120"/>
              <w:jc w:val="both"/>
              <w:rPr>
                <w:color w:val="000000"/>
                <w:lang w:val="en-US"/>
              </w:rPr>
            </w:pPr>
            <w:r w:rsidRPr="00801CDD">
              <w:rPr>
                <w:color w:val="000000"/>
                <w:lang w:val="en-US"/>
              </w:rPr>
              <w:t>RLA 7023</w:t>
            </w:r>
            <w:r w:rsidR="00801CDD" w:rsidRPr="00801CDD">
              <w:rPr>
                <w:lang w:val="en-US"/>
              </w:rPr>
              <w:t xml:space="preserve"> Assessing Atmospheric Aerosol Components in Urban Areas to Improve Air Pollution and Climate Change Management (ARCAL CLIV)</w:t>
            </w:r>
          </w:p>
        </w:tc>
        <w:tc>
          <w:tcPr>
            <w:tcW w:w="3109" w:type="dxa"/>
          </w:tcPr>
          <w:p w:rsidR="001E6A7E" w:rsidRDefault="00FE71B0" w:rsidP="00AB62D7">
            <w:pPr>
              <w:spacing w:after="120"/>
              <w:jc w:val="both"/>
              <w:rPr>
                <w:color w:val="000000"/>
              </w:rPr>
            </w:pPr>
            <w:r>
              <w:rPr>
                <w:color w:val="000000"/>
              </w:rPr>
              <w:t xml:space="preserve">Elieza Meneses Ruiz </w:t>
            </w:r>
          </w:p>
        </w:tc>
        <w:tc>
          <w:tcPr>
            <w:tcW w:w="1901" w:type="dxa"/>
          </w:tcPr>
          <w:p w:rsidR="001E6A7E" w:rsidRDefault="00AB62D7" w:rsidP="00AB62D7">
            <w:pPr>
              <w:spacing w:after="120"/>
              <w:ind w:right="379"/>
              <w:jc w:val="right"/>
              <w:rPr>
                <w:color w:val="000000"/>
              </w:rPr>
            </w:pPr>
            <w:r>
              <w:rPr>
                <w:color w:val="000000"/>
              </w:rPr>
              <w:t>10550</w:t>
            </w:r>
          </w:p>
        </w:tc>
      </w:tr>
      <w:tr w:rsidR="0039378B" w:rsidTr="00D0595C">
        <w:tc>
          <w:tcPr>
            <w:tcW w:w="6915" w:type="dxa"/>
            <w:gridSpan w:val="2"/>
          </w:tcPr>
          <w:p w:rsidR="0039378B" w:rsidRDefault="0039378B" w:rsidP="00AB62D7">
            <w:pPr>
              <w:spacing w:after="120"/>
              <w:jc w:val="both"/>
              <w:rPr>
                <w:color w:val="000000"/>
              </w:rPr>
            </w:pPr>
            <w:r>
              <w:rPr>
                <w:color w:val="000000"/>
              </w:rPr>
              <w:t>TOTAL</w:t>
            </w:r>
          </w:p>
        </w:tc>
        <w:tc>
          <w:tcPr>
            <w:tcW w:w="1901" w:type="dxa"/>
          </w:tcPr>
          <w:p w:rsidR="0039378B" w:rsidRDefault="00BA4AB1" w:rsidP="00AB62D7">
            <w:pPr>
              <w:spacing w:after="120"/>
              <w:ind w:right="379"/>
              <w:jc w:val="right"/>
              <w:rPr>
                <w:color w:val="000000"/>
              </w:rPr>
            </w:pPr>
            <w:r>
              <w:rPr>
                <w:color w:val="000000"/>
              </w:rPr>
              <w:t>166103</w:t>
            </w:r>
          </w:p>
          <w:p w:rsidR="009542D0" w:rsidRDefault="009542D0" w:rsidP="00AB62D7">
            <w:pPr>
              <w:spacing w:after="120"/>
              <w:ind w:right="379"/>
              <w:jc w:val="right"/>
              <w:rPr>
                <w:color w:val="000000"/>
              </w:rPr>
            </w:pPr>
          </w:p>
        </w:tc>
      </w:tr>
    </w:tbl>
    <w:p w:rsidR="0070022D" w:rsidRPr="00783144" w:rsidRDefault="0070022D" w:rsidP="00F23652">
      <w:pPr>
        <w:spacing w:after="120"/>
        <w:ind w:left="426" w:hanging="426"/>
        <w:jc w:val="both"/>
        <w:rPr>
          <w:color w:val="000000"/>
        </w:rPr>
      </w:pPr>
    </w:p>
    <w:p w:rsidR="00F23652" w:rsidRDefault="00F23652" w:rsidP="00F23652">
      <w:pPr>
        <w:tabs>
          <w:tab w:val="left" w:pos="720"/>
        </w:tabs>
        <w:autoSpaceDN w:val="0"/>
        <w:spacing w:after="120"/>
        <w:jc w:val="both"/>
        <w:rPr>
          <w:b/>
          <w:spacing w:val="-3"/>
          <w:szCs w:val="20"/>
          <w:lang w:eastAsia="en-US"/>
        </w:rPr>
      </w:pPr>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PARA VALORAR </w:t>
      </w:r>
      <w:r>
        <w:rPr>
          <w:b/>
          <w:spacing w:val="-3"/>
          <w:szCs w:val="20"/>
          <w:lang w:eastAsia="en-US"/>
        </w:rPr>
        <w:t xml:space="preserve"> </w:t>
      </w:r>
      <w:r w:rsidRPr="00783144">
        <w:rPr>
          <w:b/>
          <w:spacing w:val="-3"/>
          <w:szCs w:val="20"/>
          <w:lang w:eastAsia="en-US"/>
        </w:rPr>
        <w:t xml:space="preserve">EL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882"/>
        <w:gridCol w:w="1767"/>
      </w:tblGrid>
      <w:tr w:rsidR="00F23652" w:rsidRPr="00271AE9"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 w:val="left" w:pos="720"/>
              </w:tabs>
              <w:spacing w:after="120"/>
              <w:ind w:left="33"/>
              <w:jc w:val="center"/>
              <w:rPr>
                <w:sz w:val="22"/>
                <w:szCs w:val="22"/>
              </w:rPr>
            </w:pPr>
            <w:r w:rsidRPr="00271AE9">
              <w:rPr>
                <w:sz w:val="22"/>
                <w:szCs w:val="22"/>
              </w:rPr>
              <w:t>ITEM</w:t>
            </w:r>
          </w:p>
        </w:tc>
        <w:tc>
          <w:tcPr>
            <w:tcW w:w="1882"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center"/>
              <w:rPr>
                <w:sz w:val="22"/>
                <w:szCs w:val="22"/>
              </w:rPr>
            </w:pPr>
            <w:r w:rsidRPr="00271AE9">
              <w:rPr>
                <w:sz w:val="22"/>
                <w:szCs w:val="22"/>
              </w:rPr>
              <w:t>VALOR  DE REFERENCIA</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F23652" w:rsidP="00311332">
            <w:pPr>
              <w:tabs>
                <w:tab w:val="left" w:pos="0"/>
              </w:tabs>
              <w:spacing w:after="120"/>
              <w:ind w:left="72"/>
              <w:jc w:val="center"/>
              <w:rPr>
                <w:sz w:val="22"/>
                <w:szCs w:val="22"/>
              </w:rPr>
            </w:pPr>
            <w:r w:rsidRPr="00271AE9">
              <w:rPr>
                <w:sz w:val="22"/>
                <w:szCs w:val="22"/>
              </w:rPr>
              <w:t>CANTIDAD en Euros</w:t>
            </w:r>
          </w:p>
        </w:tc>
      </w:tr>
      <w:tr w:rsidR="00F23652" w:rsidRPr="00271AE9" w:rsidTr="00311332">
        <w:trPr>
          <w:trHeight w:val="58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C10DC5">
            <w:pPr>
              <w:tabs>
                <w:tab w:val="left" w:pos="0"/>
              </w:tabs>
              <w:spacing w:after="120"/>
              <w:ind w:left="72" w:right="296"/>
              <w:jc w:val="right"/>
              <w:rPr>
                <w:sz w:val="22"/>
                <w:szCs w:val="22"/>
              </w:rPr>
            </w:pPr>
            <w:r>
              <w:rPr>
                <w:sz w:val="22"/>
                <w:szCs w:val="22"/>
              </w:rPr>
              <w:t>2</w:t>
            </w:r>
            <w:r w:rsidR="00C10DC5">
              <w:rPr>
                <w:sz w:val="22"/>
                <w:szCs w:val="22"/>
              </w:rPr>
              <w:t>28</w:t>
            </w:r>
            <w:r>
              <w:rPr>
                <w:sz w:val="22"/>
                <w:szCs w:val="22"/>
              </w:rPr>
              <w:t>00</w:t>
            </w:r>
          </w:p>
        </w:tc>
      </w:tr>
      <w:tr w:rsidR="00F23652" w:rsidRPr="00271AE9" w:rsidTr="00311332">
        <w:trPr>
          <w:trHeight w:val="108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5400</w:t>
            </w: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C10DC5" w:rsidP="007E32B5">
            <w:pPr>
              <w:tabs>
                <w:tab w:val="left" w:pos="0"/>
              </w:tabs>
              <w:spacing w:after="120"/>
              <w:ind w:left="72" w:right="296"/>
              <w:jc w:val="right"/>
              <w:rPr>
                <w:sz w:val="22"/>
                <w:szCs w:val="22"/>
              </w:rPr>
            </w:pPr>
            <w:r>
              <w:rPr>
                <w:sz w:val="22"/>
                <w:szCs w:val="22"/>
              </w:rPr>
              <w:t>90</w:t>
            </w:r>
            <w:r w:rsidR="007E32B5">
              <w:rPr>
                <w:sz w:val="22"/>
                <w:szCs w:val="22"/>
              </w:rPr>
              <w:t>00</w:t>
            </w: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C10DC5" w:rsidP="007E32B5">
            <w:pPr>
              <w:tabs>
                <w:tab w:val="left" w:pos="0"/>
              </w:tabs>
              <w:spacing w:after="120"/>
              <w:ind w:left="72" w:right="296"/>
              <w:jc w:val="right"/>
              <w:rPr>
                <w:sz w:val="22"/>
                <w:szCs w:val="22"/>
              </w:rPr>
            </w:pPr>
            <w:r>
              <w:rPr>
                <w:sz w:val="22"/>
                <w:szCs w:val="22"/>
              </w:rPr>
              <w:t>1800</w:t>
            </w:r>
          </w:p>
        </w:tc>
      </w:tr>
      <w:tr w:rsidR="00F23652" w:rsidRPr="00271AE9" w:rsidTr="00311332">
        <w:trPr>
          <w:trHeight w:val="580"/>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3.500 por mes por becario</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0</w:t>
            </w:r>
          </w:p>
        </w:tc>
      </w:tr>
      <w:tr w:rsidR="00F23652" w:rsidRPr="00271AE9" w:rsidTr="00311332">
        <w:trPr>
          <w:trHeight w:val="244"/>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Publicaciones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Hasta EUR 3.000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1800</w:t>
            </w:r>
          </w:p>
        </w:tc>
      </w:tr>
      <w:tr w:rsidR="00F23652" w:rsidRPr="00271AE9" w:rsidTr="00311332">
        <w:trPr>
          <w:trHeight w:val="26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7000</w:t>
            </w: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0</w:t>
            </w:r>
          </w:p>
        </w:tc>
      </w:tr>
      <w:tr w:rsidR="00F23652" w:rsidRPr="00271AE9" w:rsidTr="00311332">
        <w:trPr>
          <w:trHeight w:val="48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Envío de reactivos, fuentes radioactivas, radioisótopos,</w:t>
            </w:r>
            <w:r w:rsidRPr="00911382" w:rsidDel="003821F2">
              <w:rPr>
                <w:sz w:val="22"/>
                <w:szCs w:val="22"/>
              </w:rPr>
              <w:t xml:space="preserve"> </w:t>
            </w:r>
            <w:r w:rsidRPr="00911382">
              <w:rPr>
                <w:sz w:val="22"/>
                <w:szCs w:val="22"/>
              </w:rPr>
              <w:t xml:space="preserve"> otros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0</w:t>
            </w:r>
          </w:p>
        </w:tc>
      </w:tr>
      <w:tr w:rsidR="00F23652" w:rsidRPr="00271AE9" w:rsidTr="00311332">
        <w:trPr>
          <w:trHeight w:val="338"/>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autoSpaceDN w:val="0"/>
              <w:rPr>
                <w:sz w:val="22"/>
                <w:szCs w:val="22"/>
              </w:rPr>
            </w:pPr>
            <w:r w:rsidRPr="00911382">
              <w:rPr>
                <w:sz w:val="22"/>
                <w:szCs w:val="22"/>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tabs>
                <w:tab w:val="left" w:pos="0"/>
              </w:tabs>
              <w:spacing w:after="120"/>
              <w:ind w:left="72" w:right="296"/>
              <w:jc w:val="right"/>
              <w:rPr>
                <w:sz w:val="22"/>
                <w:szCs w:val="22"/>
              </w:rPr>
            </w:pPr>
            <w:r>
              <w:rPr>
                <w:sz w:val="22"/>
                <w:szCs w:val="22"/>
              </w:rPr>
              <w:t>6000</w:t>
            </w:r>
          </w:p>
        </w:tc>
      </w:tr>
      <w:tr w:rsidR="00F23652" w:rsidRPr="00271AE9" w:rsidTr="00311332">
        <w:trPr>
          <w:trHeight w:val="62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val="pt-BR" w:eastAsia="pt-BR"/>
              </w:rPr>
            </w:pPr>
            <w:r w:rsidRPr="00911382">
              <w:rPr>
                <w:sz w:val="22"/>
                <w:szCs w:val="22"/>
                <w:lang w:val="pt-BR" w:eastAsia="pt-BR"/>
              </w:rPr>
              <w:t>Tiempo trabajado como Coordinador Nacional y su equipo de soporte</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Máximo EUR 1.500 por mes</w:t>
            </w:r>
          </w:p>
        </w:tc>
        <w:tc>
          <w:tcPr>
            <w:tcW w:w="1767" w:type="dxa"/>
            <w:tcBorders>
              <w:top w:val="single" w:sz="4" w:space="0" w:color="auto"/>
              <w:left w:val="single" w:sz="4" w:space="0" w:color="auto"/>
              <w:bottom w:val="single" w:sz="4" w:space="0" w:color="auto"/>
              <w:right w:val="single" w:sz="4" w:space="0" w:color="auto"/>
            </w:tcBorders>
          </w:tcPr>
          <w:p w:rsidR="007E32B5" w:rsidRPr="00911382" w:rsidRDefault="007E32B5" w:rsidP="007E32B5">
            <w:pPr>
              <w:tabs>
                <w:tab w:val="left" w:pos="0"/>
              </w:tabs>
              <w:spacing w:after="120"/>
              <w:ind w:left="72" w:right="296"/>
              <w:jc w:val="right"/>
              <w:rPr>
                <w:sz w:val="22"/>
                <w:szCs w:val="22"/>
              </w:rPr>
            </w:pPr>
            <w:r>
              <w:rPr>
                <w:sz w:val="22"/>
                <w:szCs w:val="22"/>
              </w:rPr>
              <w:t>24750</w:t>
            </w: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Tiempo trabajado como DTM</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Máximo EUR 700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C10DC5">
            <w:pPr>
              <w:tabs>
                <w:tab w:val="left" w:pos="0"/>
              </w:tabs>
              <w:spacing w:after="120"/>
              <w:ind w:left="72" w:right="296"/>
              <w:jc w:val="right"/>
              <w:rPr>
                <w:sz w:val="22"/>
                <w:szCs w:val="22"/>
              </w:rPr>
            </w:pPr>
            <w:r>
              <w:rPr>
                <w:sz w:val="22"/>
                <w:szCs w:val="22"/>
              </w:rPr>
              <w:t>1</w:t>
            </w:r>
            <w:r w:rsidR="00C10DC5">
              <w:rPr>
                <w:sz w:val="22"/>
                <w:szCs w:val="22"/>
              </w:rPr>
              <w:t>1000</w:t>
            </w: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tcPr>
          <w:p w:rsidR="009542D0" w:rsidRDefault="004034BE" w:rsidP="009542D0">
            <w:pPr>
              <w:tabs>
                <w:tab w:val="left" w:pos="0"/>
              </w:tabs>
              <w:spacing w:after="120"/>
              <w:ind w:left="72" w:right="296"/>
              <w:jc w:val="right"/>
              <w:rPr>
                <w:sz w:val="22"/>
                <w:szCs w:val="22"/>
              </w:rPr>
            </w:pPr>
            <w:r>
              <w:rPr>
                <w:sz w:val="22"/>
                <w:szCs w:val="22"/>
              </w:rPr>
              <w:t>1</w:t>
            </w:r>
            <w:r w:rsidR="009542D0">
              <w:rPr>
                <w:sz w:val="22"/>
                <w:szCs w:val="22"/>
              </w:rPr>
              <w:t>5</w:t>
            </w:r>
          </w:p>
          <w:p w:rsidR="00F23652" w:rsidRPr="00911382" w:rsidRDefault="004034BE" w:rsidP="009542D0">
            <w:pPr>
              <w:tabs>
                <w:tab w:val="left" w:pos="0"/>
              </w:tabs>
              <w:spacing w:after="120"/>
              <w:ind w:left="72" w:right="296"/>
              <w:jc w:val="right"/>
              <w:rPr>
                <w:sz w:val="22"/>
                <w:szCs w:val="22"/>
              </w:rPr>
            </w:pPr>
            <w:r>
              <w:rPr>
                <w:sz w:val="22"/>
                <w:szCs w:val="22"/>
              </w:rPr>
              <w:t>898</w:t>
            </w:r>
          </w:p>
        </w:tc>
      </w:tr>
      <w:tr w:rsidR="00F23652" w:rsidRPr="00271AE9" w:rsidTr="00311332">
        <w:trPr>
          <w:trHeight w:val="762"/>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spacing w:after="120"/>
              <w:ind w:left="72"/>
              <w:rPr>
                <w:sz w:val="22"/>
                <w:szCs w:val="22"/>
              </w:rPr>
            </w:pPr>
            <w:r w:rsidRPr="00911382">
              <w:rPr>
                <w:sz w:val="22"/>
                <w:szCs w:val="22"/>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C10DC5">
            <w:pPr>
              <w:spacing w:after="120"/>
              <w:ind w:left="72" w:right="296"/>
              <w:jc w:val="right"/>
              <w:rPr>
                <w:sz w:val="22"/>
                <w:szCs w:val="22"/>
              </w:rPr>
            </w:pPr>
            <w:r>
              <w:rPr>
                <w:sz w:val="22"/>
                <w:szCs w:val="22"/>
              </w:rPr>
              <w:t>3</w:t>
            </w:r>
            <w:r w:rsidR="00C10DC5">
              <w:rPr>
                <w:sz w:val="22"/>
                <w:szCs w:val="22"/>
              </w:rPr>
              <w:t>8275</w:t>
            </w:r>
          </w:p>
        </w:tc>
      </w:tr>
      <w:tr w:rsidR="00F23652" w:rsidRPr="00271AE9" w:rsidTr="00311332">
        <w:trPr>
          <w:trHeight w:val="1221"/>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eastAsia="en-US"/>
              </w:rPr>
            </w:pPr>
            <w:r w:rsidRPr="00911382">
              <w:rPr>
                <w:sz w:val="22"/>
                <w:szCs w:val="22"/>
              </w:rPr>
              <w:t xml:space="preserve">Aportes  en la ejecución de cada Proyecto comprendiendo los siguientes puntos: </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Viáticos interno/externo</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Transporte interno/externo</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7.500/proyecto</w:t>
            </w:r>
          </w:p>
          <w:p w:rsidR="00F23652" w:rsidRPr="00911382" w:rsidRDefault="00F23652" w:rsidP="00311332">
            <w:pPr>
              <w:spacing w:after="120"/>
              <w:rPr>
                <w:sz w:val="22"/>
                <w:szCs w:val="22"/>
              </w:rPr>
            </w:pP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7E32B5">
            <w:pPr>
              <w:spacing w:after="120"/>
              <w:ind w:right="296"/>
              <w:jc w:val="right"/>
              <w:rPr>
                <w:sz w:val="22"/>
                <w:szCs w:val="22"/>
              </w:rPr>
            </w:pPr>
            <w:r>
              <w:rPr>
                <w:sz w:val="22"/>
                <w:szCs w:val="22"/>
              </w:rPr>
              <w:t>18212</w:t>
            </w:r>
          </w:p>
        </w:tc>
      </w:tr>
      <w:tr w:rsidR="00F23652" w:rsidRPr="00271AE9" w:rsidTr="00311332">
        <w:trPr>
          <w:trHeight w:val="51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10.000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E32B5" w:rsidP="00C10DC5">
            <w:pPr>
              <w:spacing w:after="120"/>
              <w:ind w:right="296"/>
              <w:jc w:val="right"/>
              <w:rPr>
                <w:sz w:val="22"/>
                <w:szCs w:val="22"/>
              </w:rPr>
            </w:pPr>
            <w:r>
              <w:rPr>
                <w:sz w:val="22"/>
                <w:szCs w:val="22"/>
              </w:rPr>
              <w:t>4</w:t>
            </w:r>
            <w:r w:rsidR="00C10DC5">
              <w:rPr>
                <w:sz w:val="22"/>
                <w:szCs w:val="22"/>
              </w:rPr>
              <w:t>48</w:t>
            </w:r>
            <w:r>
              <w:rPr>
                <w:sz w:val="22"/>
                <w:szCs w:val="22"/>
              </w:rPr>
              <w:t>15</w:t>
            </w:r>
          </w:p>
        </w:tc>
      </w:tr>
      <w:tr w:rsidR="00F23652" w:rsidRPr="00271AE9"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right"/>
              <w:rPr>
                <w:b/>
                <w:sz w:val="22"/>
                <w:szCs w:val="22"/>
                <w:highlight w:val="green"/>
              </w:rPr>
            </w:pPr>
            <w:r w:rsidRPr="00271AE9">
              <w:rPr>
                <w:b/>
                <w:sz w:val="22"/>
                <w:szCs w:val="22"/>
              </w:rPr>
              <w:t>TOTAL</w:t>
            </w:r>
          </w:p>
        </w:tc>
        <w:tc>
          <w:tcPr>
            <w:tcW w:w="1767" w:type="dxa"/>
            <w:tcBorders>
              <w:top w:val="single" w:sz="4" w:space="0" w:color="auto"/>
              <w:left w:val="single" w:sz="4" w:space="0" w:color="auto"/>
              <w:bottom w:val="single" w:sz="4" w:space="0" w:color="auto"/>
              <w:right w:val="single" w:sz="4" w:space="0" w:color="auto"/>
            </w:tcBorders>
          </w:tcPr>
          <w:p w:rsidR="009542D0" w:rsidRPr="00271AE9" w:rsidRDefault="00BA4AB1" w:rsidP="00B12C26">
            <w:pPr>
              <w:tabs>
                <w:tab w:val="left" w:pos="0"/>
              </w:tabs>
              <w:spacing w:after="120"/>
              <w:ind w:left="72" w:right="296"/>
              <w:jc w:val="right"/>
              <w:rPr>
                <w:b/>
                <w:sz w:val="22"/>
                <w:szCs w:val="22"/>
                <w:highlight w:val="green"/>
              </w:rPr>
            </w:pPr>
            <w:r>
              <w:rPr>
                <w:b/>
                <w:sz w:val="22"/>
                <w:szCs w:val="22"/>
                <w:highlight w:val="green"/>
              </w:rPr>
              <w:t>196253</w:t>
            </w:r>
          </w:p>
        </w:tc>
        <w:bookmarkStart w:id="0" w:name="_GoBack"/>
        <w:bookmarkEnd w:id="0"/>
      </w:tr>
    </w:tbl>
    <w:p w:rsidR="001B4F94" w:rsidRPr="00F23652" w:rsidRDefault="00F23652" w:rsidP="00F23652">
      <w:pPr>
        <w:rPr>
          <w:sz w:val="20"/>
          <w:szCs w:val="20"/>
        </w:rPr>
      </w:pPr>
      <w:r w:rsidRPr="00333B30">
        <w:rPr>
          <w:b/>
          <w:sz w:val="20"/>
          <w:szCs w:val="20"/>
          <w:u w:val="single"/>
        </w:rPr>
        <w:lastRenderedPageBreak/>
        <w:t>NOTA:</w:t>
      </w:r>
      <w:r w:rsidRPr="00333B30">
        <w:rPr>
          <w:b/>
          <w:sz w:val="20"/>
          <w:szCs w:val="20"/>
        </w:rPr>
        <w:t xml:space="preserve"> No deben ser contabilizadas otras actividades no incluidas en esta Tabla.</w:t>
      </w:r>
    </w:p>
    <w:p w:rsidR="00055B55" w:rsidRPr="00804BF5" w:rsidRDefault="00055B55" w:rsidP="00104BE4">
      <w:pPr>
        <w:spacing w:after="200" w:line="276" w:lineRule="auto"/>
        <w:ind w:left="709" w:hanging="709"/>
        <w:rPr>
          <w:b/>
          <w:bCs/>
        </w:rPr>
      </w:pPr>
      <w:r w:rsidRPr="00055B55">
        <w:rPr>
          <w:b/>
          <w:bCs/>
        </w:rPr>
        <w:t>2.</w:t>
      </w:r>
      <w:r w:rsidRPr="00055B55">
        <w:rPr>
          <w:b/>
          <w:bCs/>
        </w:rPr>
        <w:tab/>
      </w:r>
      <w:r w:rsidRPr="00804BF5">
        <w:rPr>
          <w:b/>
          <w:bCs/>
        </w:rPr>
        <w:t>Instructivo tabla de indicadores financieros para valorar el aporte de los países al programa ARCAL.</w:t>
      </w:r>
    </w:p>
    <w:p w:rsidR="00782AB0" w:rsidRPr="00804BF5" w:rsidRDefault="00782AB0" w:rsidP="00782AB0">
      <w:pPr>
        <w:rPr>
          <w:rFonts w:eastAsia="Calibri"/>
          <w:b/>
          <w:lang w:val="es-HN" w:eastAsia="en-US"/>
        </w:rPr>
      </w:pPr>
    </w:p>
    <w:sectPr w:rsidR="00782AB0" w:rsidRPr="00804BF5" w:rsidSect="004C34A3">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C4" w:rsidRDefault="00BA62C4" w:rsidP="004C34A3">
      <w:r>
        <w:separator/>
      </w:r>
    </w:p>
  </w:endnote>
  <w:endnote w:type="continuationSeparator" w:id="0">
    <w:p w:rsidR="00BA62C4" w:rsidRDefault="00BA62C4"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AB62D7" w:rsidTr="004C34A3">
      <w:tc>
        <w:tcPr>
          <w:tcW w:w="2694" w:type="dxa"/>
        </w:tcPr>
        <w:p w:rsidR="00AB62D7" w:rsidRPr="00104BE4" w:rsidRDefault="00AB62D7"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AB62D7" w:rsidRPr="00333B30" w:rsidRDefault="00AB62D7"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AB62D7" w:rsidRPr="00333B30" w:rsidRDefault="00AB62D7"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C10DC5">
            <w:rPr>
              <w:rFonts w:ascii="Calibri" w:hAnsi="Calibri"/>
              <w:noProof/>
              <w:color w:val="808080" w:themeColor="background1" w:themeShade="80"/>
              <w:sz w:val="18"/>
              <w:szCs w:val="18"/>
              <w:lang w:val="es-ES_tradnl"/>
            </w:rPr>
            <w:t>6</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C10DC5">
            <w:rPr>
              <w:rFonts w:ascii="Calibri" w:hAnsi="Calibri"/>
              <w:noProof/>
              <w:color w:val="808080" w:themeColor="background1" w:themeShade="80"/>
              <w:sz w:val="18"/>
              <w:szCs w:val="18"/>
              <w:lang w:val="es-ES_tradnl"/>
            </w:rPr>
            <w:t>7</w:t>
          </w:r>
          <w:r w:rsidRPr="00333B30">
            <w:rPr>
              <w:rFonts w:ascii="Calibri" w:hAnsi="Calibri"/>
              <w:color w:val="808080" w:themeColor="background1" w:themeShade="80"/>
              <w:sz w:val="18"/>
              <w:szCs w:val="18"/>
              <w:lang w:val="es-ES_tradnl"/>
            </w:rPr>
            <w:fldChar w:fldCharType="end"/>
          </w:r>
        </w:p>
      </w:tc>
    </w:tr>
  </w:tbl>
  <w:p w:rsidR="00AB62D7" w:rsidRDefault="00AB62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C4" w:rsidRDefault="00BA62C4" w:rsidP="004C34A3">
      <w:r>
        <w:separator/>
      </w:r>
    </w:p>
  </w:footnote>
  <w:footnote w:type="continuationSeparator" w:id="0">
    <w:p w:rsidR="00BA62C4" w:rsidRDefault="00BA62C4" w:rsidP="004C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ayout w:type="fixed"/>
      <w:tblLook w:val="01E0" w:firstRow="1" w:lastRow="1" w:firstColumn="1" w:lastColumn="1" w:noHBand="0" w:noVBand="0"/>
    </w:tblPr>
    <w:tblGrid>
      <w:gridCol w:w="1837"/>
      <w:gridCol w:w="6784"/>
      <w:gridCol w:w="1697"/>
    </w:tblGrid>
    <w:tr w:rsidR="00AB62D7" w:rsidRPr="002E78EC" w:rsidTr="004C34A3">
      <w:trPr>
        <w:trHeight w:val="389"/>
      </w:trPr>
      <w:tc>
        <w:tcPr>
          <w:tcW w:w="1837" w:type="dxa"/>
        </w:tcPr>
        <w:p w:rsidR="00AB62D7" w:rsidRPr="002E78EC" w:rsidRDefault="00AB62D7" w:rsidP="00311332">
          <w:pPr>
            <w:pStyle w:val="Encabezado"/>
          </w:pPr>
          <w:r>
            <w:rPr>
              <w:noProof/>
            </w:rPr>
            <w:drawing>
              <wp:inline distT="0" distB="0" distL="0" distR="0" wp14:anchorId="6CBF19EE" wp14:editId="7A52BA57">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AB62D7" w:rsidRPr="00333B30" w:rsidRDefault="00AB62D7"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AB62D7" w:rsidRPr="004C34A3" w:rsidRDefault="00AB62D7"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AB62D7" w:rsidRPr="002E78EC" w:rsidRDefault="00AB62D7" w:rsidP="00311332">
          <w:pPr>
            <w:pStyle w:val="Encabezado"/>
            <w:rPr>
              <w:lang w:val="es-ES_tradnl"/>
            </w:rPr>
          </w:pPr>
        </w:p>
      </w:tc>
    </w:tr>
  </w:tbl>
  <w:p w:rsidR="00AB62D7" w:rsidRPr="004C34A3" w:rsidRDefault="00AB62D7">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3D6815CE"/>
    <w:lvl w:ilvl="0" w:tplc="500A000D">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nsid w:val="04EF0249"/>
    <w:multiLevelType w:val="hybridMultilevel"/>
    <w:tmpl w:val="37F2A37C"/>
    <w:lvl w:ilvl="0" w:tplc="DC82F99E">
      <w:start w:val="1"/>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4">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5">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7">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8">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9">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21F7AD6"/>
    <w:multiLevelType w:val="hybridMultilevel"/>
    <w:tmpl w:val="633A03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572E2"/>
    <w:multiLevelType w:val="hybridMultilevel"/>
    <w:tmpl w:val="2D1AA31E"/>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7">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8">
    <w:nsid w:val="3FD45D3A"/>
    <w:multiLevelType w:val="hybridMultilevel"/>
    <w:tmpl w:val="8DDC9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F56148"/>
    <w:multiLevelType w:val="hybridMultilevel"/>
    <w:tmpl w:val="A5BEF5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E763D1"/>
    <w:multiLevelType w:val="hybridMultilevel"/>
    <w:tmpl w:val="4154839C"/>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21">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23">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24">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25">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F3144"/>
    <w:multiLevelType w:val="hybridMultilevel"/>
    <w:tmpl w:val="69BA9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31">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32">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abstractNum w:abstractNumId="36">
    <w:nsid w:val="7CD41471"/>
    <w:multiLevelType w:val="hybridMultilevel"/>
    <w:tmpl w:val="AA5AD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
  </w:num>
  <w:num w:numId="4">
    <w:abstractNumId w:val="30"/>
  </w:num>
  <w:num w:numId="5">
    <w:abstractNumId w:val="7"/>
  </w:num>
  <w:num w:numId="6">
    <w:abstractNumId w:val="35"/>
  </w:num>
  <w:num w:numId="7">
    <w:abstractNumId w:val="4"/>
  </w:num>
  <w:num w:numId="8">
    <w:abstractNumId w:val="16"/>
  </w:num>
  <w:num w:numId="9">
    <w:abstractNumId w:val="31"/>
  </w:num>
  <w:num w:numId="10">
    <w:abstractNumId w:val="17"/>
  </w:num>
  <w:num w:numId="11">
    <w:abstractNumId w:val="2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4"/>
  </w:num>
  <w:num w:numId="15">
    <w:abstractNumId w:val="8"/>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8"/>
  </w:num>
  <w:num w:numId="21">
    <w:abstractNumId w:val="25"/>
  </w:num>
  <w:num w:numId="22">
    <w:abstractNumId w:val="27"/>
  </w:num>
  <w:num w:numId="23">
    <w:abstractNumId w:val="32"/>
  </w:num>
  <w:num w:numId="24">
    <w:abstractNumId w:val="11"/>
  </w:num>
  <w:num w:numId="25">
    <w:abstractNumId w:val="12"/>
  </w:num>
  <w:num w:numId="26">
    <w:abstractNumId w:val="2"/>
  </w:num>
  <w:num w:numId="27">
    <w:abstractNumId w:val="34"/>
  </w:num>
  <w:num w:numId="28">
    <w:abstractNumId w:val="14"/>
  </w:num>
  <w:num w:numId="29">
    <w:abstractNumId w:val="9"/>
  </w:num>
  <w:num w:numId="30">
    <w:abstractNumId w:val="33"/>
  </w:num>
  <w:num w:numId="31">
    <w:abstractNumId w:val="29"/>
  </w:num>
  <w:num w:numId="32">
    <w:abstractNumId w:val="19"/>
  </w:num>
  <w:num w:numId="33">
    <w:abstractNumId w:val="18"/>
  </w:num>
  <w:num w:numId="34">
    <w:abstractNumId w:val="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6"/>
  </w:num>
  <w:num w:numId="38">
    <w:abstractNumId w:val="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40802"/>
    <w:rsid w:val="00055B55"/>
    <w:rsid w:val="0007332D"/>
    <w:rsid w:val="000C2185"/>
    <w:rsid w:val="000D091E"/>
    <w:rsid w:val="000D74CF"/>
    <w:rsid w:val="000E29A7"/>
    <w:rsid w:val="000F43B3"/>
    <w:rsid w:val="0010169B"/>
    <w:rsid w:val="00104BE4"/>
    <w:rsid w:val="00116198"/>
    <w:rsid w:val="0013055B"/>
    <w:rsid w:val="00137E88"/>
    <w:rsid w:val="001A3628"/>
    <w:rsid w:val="001B1437"/>
    <w:rsid w:val="001B4F94"/>
    <w:rsid w:val="001C3DB4"/>
    <w:rsid w:val="001C7D6C"/>
    <w:rsid w:val="001D0D2F"/>
    <w:rsid w:val="001D2B4A"/>
    <w:rsid w:val="001D2D26"/>
    <w:rsid w:val="001E6A7E"/>
    <w:rsid w:val="001F0856"/>
    <w:rsid w:val="002056D5"/>
    <w:rsid w:val="00206726"/>
    <w:rsid w:val="00220021"/>
    <w:rsid w:val="00231CE0"/>
    <w:rsid w:val="002438AF"/>
    <w:rsid w:val="002534E8"/>
    <w:rsid w:val="00256450"/>
    <w:rsid w:val="00271AE9"/>
    <w:rsid w:val="0028228C"/>
    <w:rsid w:val="002B29BC"/>
    <w:rsid w:val="002B55CB"/>
    <w:rsid w:val="002D4FF8"/>
    <w:rsid w:val="002E6316"/>
    <w:rsid w:val="002F3A93"/>
    <w:rsid w:val="00311332"/>
    <w:rsid w:val="00323DCC"/>
    <w:rsid w:val="00325BA3"/>
    <w:rsid w:val="00333B30"/>
    <w:rsid w:val="003348D2"/>
    <w:rsid w:val="003676C9"/>
    <w:rsid w:val="0039378B"/>
    <w:rsid w:val="003C2787"/>
    <w:rsid w:val="004034BE"/>
    <w:rsid w:val="004C0B37"/>
    <w:rsid w:val="004C34A3"/>
    <w:rsid w:val="004D4CFC"/>
    <w:rsid w:val="004F5F43"/>
    <w:rsid w:val="00515964"/>
    <w:rsid w:val="00553D4F"/>
    <w:rsid w:val="0056274F"/>
    <w:rsid w:val="00573A47"/>
    <w:rsid w:val="00576FD0"/>
    <w:rsid w:val="005848D9"/>
    <w:rsid w:val="005A1899"/>
    <w:rsid w:val="005B3D35"/>
    <w:rsid w:val="005E2363"/>
    <w:rsid w:val="005F078D"/>
    <w:rsid w:val="005F1F88"/>
    <w:rsid w:val="0062555D"/>
    <w:rsid w:val="00654926"/>
    <w:rsid w:val="00676282"/>
    <w:rsid w:val="006A1407"/>
    <w:rsid w:val="006A624F"/>
    <w:rsid w:val="006D4B66"/>
    <w:rsid w:val="006E0FBA"/>
    <w:rsid w:val="006F14BE"/>
    <w:rsid w:val="007001B8"/>
    <w:rsid w:val="0070022D"/>
    <w:rsid w:val="007223F2"/>
    <w:rsid w:val="00782AB0"/>
    <w:rsid w:val="00783144"/>
    <w:rsid w:val="007B3351"/>
    <w:rsid w:val="007D27CF"/>
    <w:rsid w:val="007D6AC5"/>
    <w:rsid w:val="007E32B5"/>
    <w:rsid w:val="00801CDD"/>
    <w:rsid w:val="00804BF5"/>
    <w:rsid w:val="00822FFB"/>
    <w:rsid w:val="008550EC"/>
    <w:rsid w:val="00881BA5"/>
    <w:rsid w:val="00882D04"/>
    <w:rsid w:val="0089705D"/>
    <w:rsid w:val="008C3F52"/>
    <w:rsid w:val="008E4857"/>
    <w:rsid w:val="008F5BED"/>
    <w:rsid w:val="00911382"/>
    <w:rsid w:val="0092701C"/>
    <w:rsid w:val="0092748C"/>
    <w:rsid w:val="00930CB4"/>
    <w:rsid w:val="0094186C"/>
    <w:rsid w:val="009542D0"/>
    <w:rsid w:val="00967AB0"/>
    <w:rsid w:val="009B1E29"/>
    <w:rsid w:val="009B6B3B"/>
    <w:rsid w:val="009F1E13"/>
    <w:rsid w:val="009F6067"/>
    <w:rsid w:val="00A003E0"/>
    <w:rsid w:val="00A309CE"/>
    <w:rsid w:val="00A41B14"/>
    <w:rsid w:val="00A51F4E"/>
    <w:rsid w:val="00A560B4"/>
    <w:rsid w:val="00A57988"/>
    <w:rsid w:val="00A81F91"/>
    <w:rsid w:val="00AA6AAA"/>
    <w:rsid w:val="00AB063C"/>
    <w:rsid w:val="00AB62D7"/>
    <w:rsid w:val="00AC63E1"/>
    <w:rsid w:val="00AE1455"/>
    <w:rsid w:val="00AE5574"/>
    <w:rsid w:val="00AF2279"/>
    <w:rsid w:val="00B12C26"/>
    <w:rsid w:val="00B27521"/>
    <w:rsid w:val="00B63742"/>
    <w:rsid w:val="00B66D95"/>
    <w:rsid w:val="00B822C5"/>
    <w:rsid w:val="00BA4AB1"/>
    <w:rsid w:val="00BA62C4"/>
    <w:rsid w:val="00BD2F4B"/>
    <w:rsid w:val="00BE1EDB"/>
    <w:rsid w:val="00C01141"/>
    <w:rsid w:val="00C10DC5"/>
    <w:rsid w:val="00C77EF3"/>
    <w:rsid w:val="00C857A3"/>
    <w:rsid w:val="00C876B0"/>
    <w:rsid w:val="00CB647A"/>
    <w:rsid w:val="00CC2264"/>
    <w:rsid w:val="00D0595C"/>
    <w:rsid w:val="00D07AFB"/>
    <w:rsid w:val="00D52BB7"/>
    <w:rsid w:val="00D76F15"/>
    <w:rsid w:val="00D845FC"/>
    <w:rsid w:val="00D87D21"/>
    <w:rsid w:val="00DE3C57"/>
    <w:rsid w:val="00E170F3"/>
    <w:rsid w:val="00E478C8"/>
    <w:rsid w:val="00E52EDC"/>
    <w:rsid w:val="00E762EA"/>
    <w:rsid w:val="00E9408E"/>
    <w:rsid w:val="00EA76EA"/>
    <w:rsid w:val="00EC2166"/>
    <w:rsid w:val="00F23652"/>
    <w:rsid w:val="00FE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99"/>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styleId="Hipervnculo">
    <w:name w:val="Hyperlink"/>
    <w:basedOn w:val="Fuentedeprrafopredeter"/>
    <w:uiPriority w:val="99"/>
    <w:semiHidden/>
    <w:unhideWhenUsed/>
    <w:rsid w:val="00B27521"/>
    <w:rPr>
      <w:color w:val="0000FF"/>
      <w:u w:val="single"/>
    </w:rPr>
  </w:style>
  <w:style w:type="paragraph" w:customStyle="1" w:styleId="Default">
    <w:name w:val="Default"/>
    <w:rsid w:val="00FE71B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tlid-translation">
    <w:name w:val="tlid-translation"/>
    <w:basedOn w:val="Fuentedeprrafopredeter"/>
    <w:rsid w:val="00BA4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99"/>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styleId="Hipervnculo">
    <w:name w:val="Hyperlink"/>
    <w:basedOn w:val="Fuentedeprrafopredeter"/>
    <w:uiPriority w:val="99"/>
    <w:semiHidden/>
    <w:unhideWhenUsed/>
    <w:rsid w:val="00B27521"/>
    <w:rPr>
      <w:color w:val="0000FF"/>
      <w:u w:val="single"/>
    </w:rPr>
  </w:style>
  <w:style w:type="paragraph" w:customStyle="1" w:styleId="Default">
    <w:name w:val="Default"/>
    <w:rsid w:val="00FE71B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tlid-translation">
    <w:name w:val="tlid-translation"/>
    <w:basedOn w:val="Fuentedeprrafopredeter"/>
    <w:rsid w:val="00BA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435251290">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555359517">
      <w:bodyDiv w:val="1"/>
      <w:marLeft w:val="0"/>
      <w:marRight w:val="0"/>
      <w:marTop w:val="0"/>
      <w:marBottom w:val="0"/>
      <w:divBdr>
        <w:top w:val="none" w:sz="0" w:space="0" w:color="auto"/>
        <w:left w:val="none" w:sz="0" w:space="0" w:color="auto"/>
        <w:bottom w:val="none" w:sz="0" w:space="0" w:color="auto"/>
        <w:right w:val="none" w:sz="0" w:space="0" w:color="auto"/>
      </w:divBdr>
    </w:div>
    <w:div w:id="713387738">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702586670">
      <w:bodyDiv w:val="1"/>
      <w:marLeft w:val="0"/>
      <w:marRight w:val="0"/>
      <w:marTop w:val="0"/>
      <w:marBottom w:val="0"/>
      <w:divBdr>
        <w:top w:val="none" w:sz="0" w:space="0" w:color="auto"/>
        <w:left w:val="none" w:sz="0" w:space="0" w:color="auto"/>
        <w:bottom w:val="none" w:sz="0" w:space="0" w:color="auto"/>
        <w:right w:val="none" w:sz="0" w:space="0" w:color="auto"/>
      </w:divBdr>
    </w:div>
    <w:div w:id="1763447287">
      <w:bodyDiv w:val="1"/>
      <w:marLeft w:val="0"/>
      <w:marRight w:val="0"/>
      <w:marTop w:val="0"/>
      <w:marBottom w:val="0"/>
      <w:divBdr>
        <w:top w:val="none" w:sz="0" w:space="0" w:color="auto"/>
        <w:left w:val="none" w:sz="0" w:space="0" w:color="auto"/>
        <w:bottom w:val="none" w:sz="0" w:space="0" w:color="auto"/>
        <w:right w:val="none" w:sz="0" w:space="0" w:color="auto"/>
      </w:divBdr>
    </w:div>
    <w:div w:id="1841502615">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 w:id="18940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A2F3-810A-4967-84C5-24458F45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1619</Words>
  <Characters>8906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Berta García Rodríguez</cp:lastModifiedBy>
  <cp:revision>6</cp:revision>
  <cp:lastPrinted>2015-09-03T11:34:00Z</cp:lastPrinted>
  <dcterms:created xsi:type="dcterms:W3CDTF">2019-03-14T17:37:00Z</dcterms:created>
  <dcterms:modified xsi:type="dcterms:W3CDTF">2019-03-26T14:47:00Z</dcterms:modified>
</cp:coreProperties>
</file>